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C3F2C" w14:textId="77777777" w:rsidR="00E46B4B" w:rsidRDefault="00E46B4B" w:rsidP="0049320F">
      <w:pPr>
        <w:autoSpaceDE/>
        <w:autoSpaceDN/>
        <w:adjustRightInd/>
        <w:spacing w:after="0"/>
      </w:pPr>
    </w:p>
    <w:p w14:paraId="7590671A" w14:textId="77777777" w:rsidR="00641054" w:rsidRDefault="009974F8" w:rsidP="0049320F">
      <w:pPr>
        <w:autoSpaceDE/>
        <w:autoSpaceDN/>
        <w:adjustRightInd/>
        <w:spacing w:after="0"/>
        <w:sectPr w:rsidR="00641054" w:rsidSect="00B81DFC">
          <w:headerReference w:type="default" r:id="rId8"/>
          <w:footerReference w:type="default" r:id="rId9"/>
          <w:headerReference w:type="first" r:id="rId10"/>
          <w:pgSz w:w="11900" w:h="16840" w:code="9"/>
          <w:pgMar w:top="1361" w:right="1361" w:bottom="1361" w:left="1361" w:header="709" w:footer="709" w:gutter="0"/>
          <w:cols w:space="292"/>
          <w:titlePg/>
          <w:docGrid w:linePitch="326"/>
        </w:sectPr>
      </w:pPr>
      <w:r>
        <w:rPr>
          <w:noProof/>
          <w:lang w:eastAsia="en-GB"/>
        </w:rPr>
        <mc:AlternateContent>
          <mc:Choice Requires="wps">
            <w:drawing>
              <wp:anchor distT="0" distB="0" distL="114300" distR="114300" simplePos="0" relativeHeight="251657728" behindDoc="0" locked="0" layoutInCell="1" allowOverlap="1" wp14:anchorId="785F31E7" wp14:editId="770A6546">
                <wp:simplePos x="0" y="0"/>
                <wp:positionH relativeFrom="column">
                  <wp:posOffset>-494665</wp:posOffset>
                </wp:positionH>
                <wp:positionV relativeFrom="paragraph">
                  <wp:posOffset>5768975</wp:posOffset>
                </wp:positionV>
                <wp:extent cx="6640195" cy="3027045"/>
                <wp:effectExtent l="0" t="0" r="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302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AFB5E" w14:textId="77777777" w:rsidR="00C861A5" w:rsidRDefault="00C861A5" w:rsidP="0037393E">
                            <w:pPr>
                              <w:spacing w:after="0"/>
                              <w:ind w:right="-46"/>
                              <w:jc w:val="left"/>
                              <w:rPr>
                                <w:rFonts w:cs="Arial"/>
                                <w:b/>
                                <w:bCs/>
                                <w:sz w:val="52"/>
                                <w:szCs w:val="52"/>
                              </w:rPr>
                            </w:pPr>
                          </w:p>
                          <w:p w14:paraId="11AA3312" w14:textId="77777777" w:rsidR="00C861A5" w:rsidRPr="0037393E" w:rsidRDefault="00C861A5" w:rsidP="0037393E">
                            <w:pPr>
                              <w:spacing w:after="0"/>
                              <w:ind w:right="-46"/>
                              <w:jc w:val="left"/>
                              <w:rPr>
                                <w:rFonts w:cs="Arial"/>
                                <w:b/>
                                <w:bCs/>
                                <w:sz w:val="52"/>
                                <w:szCs w:val="52"/>
                              </w:rPr>
                            </w:pPr>
                          </w:p>
                          <w:p w14:paraId="4975FEEC" w14:textId="77777777" w:rsidR="00C861A5" w:rsidRDefault="00C861A5" w:rsidP="0037393E">
                            <w:pPr>
                              <w:spacing w:after="0"/>
                              <w:ind w:right="-46"/>
                              <w:jc w:val="left"/>
                              <w:rPr>
                                <w:rFonts w:cs="Arial"/>
                                <w:b/>
                                <w:bCs/>
                                <w:sz w:val="52"/>
                                <w:szCs w:val="52"/>
                              </w:rPr>
                            </w:pPr>
                            <w:r>
                              <w:rPr>
                                <w:rFonts w:cs="Arial"/>
                                <w:b/>
                                <w:bCs/>
                                <w:sz w:val="52"/>
                                <w:szCs w:val="52"/>
                              </w:rPr>
                              <w:t>Money Matters</w:t>
                            </w:r>
                          </w:p>
                          <w:p w14:paraId="4EC18537" w14:textId="77777777" w:rsidR="00C861A5" w:rsidRDefault="00C861A5" w:rsidP="0037393E">
                            <w:pPr>
                              <w:spacing w:after="0"/>
                              <w:ind w:right="-46"/>
                              <w:jc w:val="left"/>
                              <w:rPr>
                                <w:rFonts w:cs="Arial"/>
                                <w:b/>
                                <w:bCs/>
                                <w:sz w:val="52"/>
                                <w:szCs w:val="52"/>
                              </w:rPr>
                            </w:pPr>
                            <w:r>
                              <w:rPr>
                                <w:rFonts w:cs="Arial"/>
                                <w:b/>
                                <w:bCs/>
                                <w:sz w:val="52"/>
                                <w:szCs w:val="52"/>
                              </w:rPr>
                              <w:t xml:space="preserve">The County Council's Financial Position </w:t>
                            </w:r>
                          </w:p>
                          <w:p w14:paraId="712074E1" w14:textId="6B4D4302" w:rsidR="00C861A5" w:rsidRPr="0037393E" w:rsidRDefault="00C861A5" w:rsidP="0037393E">
                            <w:pPr>
                              <w:spacing w:after="0"/>
                              <w:ind w:right="-46"/>
                              <w:jc w:val="left"/>
                              <w:rPr>
                                <w:rFonts w:cs="Arial"/>
                                <w:b/>
                                <w:bCs/>
                                <w:sz w:val="52"/>
                                <w:szCs w:val="52"/>
                              </w:rPr>
                            </w:pPr>
                            <w:r>
                              <w:rPr>
                                <w:rFonts w:cs="Arial"/>
                                <w:b/>
                                <w:bCs/>
                                <w:sz w:val="52"/>
                                <w:szCs w:val="52"/>
                              </w:rPr>
                              <w:t>As at 30th June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F31E7" id="_x0000_t202" coordsize="21600,21600" o:spt="202" path="m,l,21600r21600,l21600,xe">
                <v:stroke joinstyle="miter"/>
                <v:path gradientshapeok="t" o:connecttype="rect"/>
              </v:shapetype>
              <v:shape id="Text Box 4" o:spid="_x0000_s1026" type="#_x0000_t202" style="position:absolute;left:0;text-align:left;margin-left:-38.95pt;margin-top:454.25pt;width:522.85pt;height:23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VGStQ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" filled="f" stroked="f">
                <v:textbox>
                  <w:txbxContent>
                    <w:p w14:paraId="619AFB5E" w14:textId="77777777" w:rsidR="00C861A5" w:rsidRDefault="00C861A5" w:rsidP="0037393E">
                      <w:pPr>
                        <w:spacing w:after="0"/>
                        <w:ind w:right="-46"/>
                        <w:jc w:val="left"/>
                        <w:rPr>
                          <w:rFonts w:cs="Arial"/>
                          <w:b/>
                          <w:bCs/>
                          <w:sz w:val="52"/>
                          <w:szCs w:val="52"/>
                        </w:rPr>
                      </w:pPr>
                    </w:p>
                    <w:p w14:paraId="11AA3312" w14:textId="77777777" w:rsidR="00C861A5" w:rsidRPr="0037393E" w:rsidRDefault="00C861A5" w:rsidP="0037393E">
                      <w:pPr>
                        <w:spacing w:after="0"/>
                        <w:ind w:right="-46"/>
                        <w:jc w:val="left"/>
                        <w:rPr>
                          <w:rFonts w:cs="Arial"/>
                          <w:b/>
                          <w:bCs/>
                          <w:sz w:val="52"/>
                          <w:szCs w:val="52"/>
                        </w:rPr>
                      </w:pPr>
                    </w:p>
                    <w:p w14:paraId="4975FEEC" w14:textId="77777777" w:rsidR="00C861A5" w:rsidRDefault="00C861A5" w:rsidP="0037393E">
                      <w:pPr>
                        <w:spacing w:after="0"/>
                        <w:ind w:right="-46"/>
                        <w:jc w:val="left"/>
                        <w:rPr>
                          <w:rFonts w:cs="Arial"/>
                          <w:b/>
                          <w:bCs/>
                          <w:sz w:val="52"/>
                          <w:szCs w:val="52"/>
                        </w:rPr>
                      </w:pPr>
                      <w:r>
                        <w:rPr>
                          <w:rFonts w:cs="Arial"/>
                          <w:b/>
                          <w:bCs/>
                          <w:sz w:val="52"/>
                          <w:szCs w:val="52"/>
                        </w:rPr>
                        <w:t>Money Matters</w:t>
                      </w:r>
                    </w:p>
                    <w:p w14:paraId="4EC18537" w14:textId="77777777" w:rsidR="00C861A5" w:rsidRDefault="00C861A5" w:rsidP="0037393E">
                      <w:pPr>
                        <w:spacing w:after="0"/>
                        <w:ind w:right="-46"/>
                        <w:jc w:val="left"/>
                        <w:rPr>
                          <w:rFonts w:cs="Arial"/>
                          <w:b/>
                          <w:bCs/>
                          <w:sz w:val="52"/>
                          <w:szCs w:val="52"/>
                        </w:rPr>
                      </w:pPr>
                      <w:r>
                        <w:rPr>
                          <w:rFonts w:cs="Arial"/>
                          <w:b/>
                          <w:bCs/>
                          <w:sz w:val="52"/>
                          <w:szCs w:val="52"/>
                        </w:rPr>
                        <w:t xml:space="preserve">The County Council's Financial Position </w:t>
                      </w:r>
                    </w:p>
                    <w:p w14:paraId="712074E1" w14:textId="6B4D4302" w:rsidR="00C861A5" w:rsidRPr="0037393E" w:rsidRDefault="00C861A5" w:rsidP="0037393E">
                      <w:pPr>
                        <w:spacing w:after="0"/>
                        <w:ind w:right="-46"/>
                        <w:jc w:val="left"/>
                        <w:rPr>
                          <w:rFonts w:cs="Arial"/>
                          <w:b/>
                          <w:bCs/>
                          <w:sz w:val="52"/>
                          <w:szCs w:val="52"/>
                        </w:rPr>
                      </w:pPr>
                      <w:r>
                        <w:rPr>
                          <w:rFonts w:cs="Arial"/>
                          <w:b/>
                          <w:bCs/>
                          <w:sz w:val="52"/>
                          <w:szCs w:val="52"/>
                        </w:rPr>
                        <w:t>As at 30th June 2016</w:t>
                      </w:r>
                    </w:p>
                  </w:txbxContent>
                </v:textbox>
              </v:shape>
            </w:pict>
          </mc:Fallback>
        </mc:AlternateContent>
      </w:r>
    </w:p>
    <w:p w14:paraId="3FD054D8" w14:textId="77777777" w:rsidR="0037393E" w:rsidRPr="00FA69E9" w:rsidRDefault="0037393E" w:rsidP="0049320F">
      <w:pPr>
        <w:spacing w:after="0"/>
        <w:ind w:right="-46"/>
        <w:rPr>
          <w:rFonts w:cs="Arial"/>
          <w:b/>
          <w:bCs/>
          <w:caps/>
          <w:sz w:val="22"/>
        </w:rPr>
      </w:pPr>
    </w:p>
    <w:p w14:paraId="3653BACF" w14:textId="77777777" w:rsidR="0037393E" w:rsidRDefault="0037393E" w:rsidP="0049320F">
      <w:pPr>
        <w:spacing w:after="0"/>
        <w:ind w:right="-46"/>
        <w:rPr>
          <w:rFonts w:cs="Arial"/>
          <w:b/>
          <w:bCs/>
          <w:sz w:val="22"/>
        </w:rPr>
      </w:pPr>
    </w:p>
    <w:tbl>
      <w:tblPr>
        <w:tblStyle w:val="TableGrid"/>
        <w:tblW w:w="0" w:type="auto"/>
        <w:tblLook w:val="04A0" w:firstRow="1" w:lastRow="0" w:firstColumn="1" w:lastColumn="0" w:noHBand="0" w:noVBand="1"/>
      </w:tblPr>
      <w:tblGrid>
        <w:gridCol w:w="6812"/>
        <w:gridCol w:w="2362"/>
      </w:tblGrid>
      <w:tr w:rsidR="00E775EA" w14:paraId="0577E852" w14:textId="77777777" w:rsidTr="0049320F">
        <w:tc>
          <w:tcPr>
            <w:tcW w:w="6812" w:type="dxa"/>
          </w:tcPr>
          <w:p w14:paraId="3C0A7417" w14:textId="77777777" w:rsidR="00321030" w:rsidRDefault="00321030" w:rsidP="0049320F">
            <w:pPr>
              <w:spacing w:after="0"/>
              <w:ind w:right="-46"/>
              <w:rPr>
                <w:rFonts w:cs="Arial"/>
                <w:b/>
                <w:bCs/>
                <w:sz w:val="26"/>
                <w:szCs w:val="26"/>
              </w:rPr>
            </w:pPr>
          </w:p>
          <w:p w14:paraId="78145D16" w14:textId="77777777" w:rsidR="00E775EA" w:rsidRPr="00E775EA" w:rsidRDefault="00E775EA" w:rsidP="0049320F">
            <w:pPr>
              <w:spacing w:after="0"/>
              <w:ind w:right="-46"/>
              <w:rPr>
                <w:rFonts w:cs="Arial"/>
                <w:b/>
                <w:bCs/>
                <w:sz w:val="26"/>
                <w:szCs w:val="26"/>
              </w:rPr>
            </w:pPr>
            <w:r w:rsidRPr="00E775EA">
              <w:rPr>
                <w:rFonts w:cs="Arial"/>
                <w:b/>
                <w:bCs/>
                <w:sz w:val="26"/>
                <w:szCs w:val="26"/>
              </w:rPr>
              <w:t>Contents</w:t>
            </w:r>
          </w:p>
          <w:p w14:paraId="404400D0" w14:textId="77777777" w:rsidR="00E775EA" w:rsidRPr="00E775EA" w:rsidRDefault="00E775EA" w:rsidP="0049320F">
            <w:pPr>
              <w:spacing w:after="0"/>
              <w:ind w:right="-46"/>
              <w:rPr>
                <w:rFonts w:cs="Arial"/>
                <w:b/>
                <w:bCs/>
                <w:sz w:val="26"/>
                <w:szCs w:val="26"/>
              </w:rPr>
            </w:pPr>
          </w:p>
        </w:tc>
        <w:tc>
          <w:tcPr>
            <w:tcW w:w="2362" w:type="dxa"/>
          </w:tcPr>
          <w:p w14:paraId="0BE01417" w14:textId="77777777" w:rsidR="00321030" w:rsidRDefault="00321030" w:rsidP="0049320F">
            <w:pPr>
              <w:spacing w:after="0"/>
              <w:ind w:right="-46"/>
              <w:rPr>
                <w:rFonts w:cs="Arial"/>
                <w:b/>
                <w:bCs/>
                <w:sz w:val="26"/>
                <w:szCs w:val="26"/>
              </w:rPr>
            </w:pPr>
          </w:p>
          <w:p w14:paraId="2E6F78BE" w14:textId="77777777" w:rsidR="00E775EA" w:rsidRPr="00E775EA" w:rsidRDefault="00E775EA" w:rsidP="0049320F">
            <w:pPr>
              <w:spacing w:after="0"/>
              <w:ind w:right="-46"/>
              <w:rPr>
                <w:rFonts w:cs="Arial"/>
                <w:b/>
                <w:bCs/>
                <w:sz w:val="26"/>
                <w:szCs w:val="26"/>
              </w:rPr>
            </w:pPr>
            <w:r w:rsidRPr="00E775EA">
              <w:rPr>
                <w:rFonts w:cs="Arial"/>
                <w:b/>
                <w:bCs/>
                <w:sz w:val="26"/>
                <w:szCs w:val="26"/>
              </w:rPr>
              <w:t>Page</w:t>
            </w:r>
          </w:p>
        </w:tc>
      </w:tr>
      <w:tr w:rsidR="00DE6416" w14:paraId="6B6C0293" w14:textId="77777777" w:rsidTr="0049320F">
        <w:tc>
          <w:tcPr>
            <w:tcW w:w="6812" w:type="dxa"/>
          </w:tcPr>
          <w:p w14:paraId="6418365A" w14:textId="77777777" w:rsidR="00DE6416" w:rsidRPr="00DF68C8" w:rsidRDefault="00DE6416" w:rsidP="0049320F">
            <w:pPr>
              <w:spacing w:after="0"/>
              <w:ind w:right="-46"/>
              <w:rPr>
                <w:rFonts w:cs="Arial"/>
                <w:bCs/>
              </w:rPr>
            </w:pPr>
          </w:p>
          <w:p w14:paraId="0FEA0D1D" w14:textId="77777777" w:rsidR="00DE6416" w:rsidRPr="00DF68C8" w:rsidRDefault="00DE6416" w:rsidP="0049320F">
            <w:pPr>
              <w:spacing w:after="0"/>
              <w:ind w:right="-46"/>
              <w:rPr>
                <w:rFonts w:cs="Arial"/>
                <w:bCs/>
              </w:rPr>
            </w:pPr>
            <w:r w:rsidRPr="00DF68C8">
              <w:rPr>
                <w:rFonts w:cs="Arial"/>
                <w:bCs/>
              </w:rPr>
              <w:t>Introduction</w:t>
            </w:r>
          </w:p>
          <w:p w14:paraId="2105D306" w14:textId="77777777" w:rsidR="00DE6416" w:rsidRPr="00DF68C8" w:rsidRDefault="00DE6416" w:rsidP="0049320F">
            <w:pPr>
              <w:spacing w:after="0"/>
              <w:ind w:right="-46"/>
              <w:rPr>
                <w:rFonts w:cs="Arial"/>
                <w:bCs/>
              </w:rPr>
            </w:pPr>
          </w:p>
        </w:tc>
        <w:tc>
          <w:tcPr>
            <w:tcW w:w="2362" w:type="dxa"/>
          </w:tcPr>
          <w:p w14:paraId="777D5D93" w14:textId="77777777" w:rsidR="00DE6416" w:rsidRPr="0049320F" w:rsidRDefault="00DE6416" w:rsidP="0049320F">
            <w:pPr>
              <w:spacing w:after="0"/>
              <w:ind w:right="-46"/>
              <w:rPr>
                <w:rFonts w:cs="Arial"/>
                <w:bCs/>
              </w:rPr>
            </w:pPr>
          </w:p>
          <w:p w14:paraId="1F7BCCC9" w14:textId="77777777" w:rsidR="00DE6416" w:rsidRPr="0049320F" w:rsidRDefault="004F5BD3" w:rsidP="0049320F">
            <w:pPr>
              <w:spacing w:after="0"/>
              <w:ind w:right="-46"/>
              <w:rPr>
                <w:rFonts w:cs="Arial"/>
                <w:bCs/>
              </w:rPr>
            </w:pPr>
            <w:r w:rsidRPr="0049320F">
              <w:rPr>
                <w:rFonts w:cs="Arial"/>
                <w:bCs/>
              </w:rPr>
              <w:t>2</w:t>
            </w:r>
          </w:p>
        </w:tc>
      </w:tr>
      <w:tr w:rsidR="00E775EA" w14:paraId="34197C08" w14:textId="77777777" w:rsidTr="0049320F">
        <w:tc>
          <w:tcPr>
            <w:tcW w:w="6812" w:type="dxa"/>
          </w:tcPr>
          <w:p w14:paraId="29ABAD27" w14:textId="77777777" w:rsidR="00321030" w:rsidRPr="00DF68C8" w:rsidRDefault="00321030" w:rsidP="0049320F">
            <w:pPr>
              <w:tabs>
                <w:tab w:val="left" w:pos="1447"/>
                <w:tab w:val="left" w:pos="1927"/>
              </w:tabs>
              <w:spacing w:after="0"/>
              <w:ind w:right="-46"/>
              <w:rPr>
                <w:rFonts w:cs="Arial"/>
                <w:bCs/>
              </w:rPr>
            </w:pPr>
          </w:p>
          <w:p w14:paraId="3A1E6C70" w14:textId="2C687613" w:rsidR="00E775EA" w:rsidRPr="00DF68C8" w:rsidRDefault="008E697B" w:rsidP="0049320F">
            <w:pPr>
              <w:tabs>
                <w:tab w:val="left" w:pos="1447"/>
                <w:tab w:val="left" w:pos="1927"/>
              </w:tabs>
              <w:spacing w:after="0"/>
              <w:ind w:right="-46"/>
              <w:rPr>
                <w:rFonts w:cs="Arial"/>
                <w:bCs/>
              </w:rPr>
            </w:pPr>
            <w:r>
              <w:rPr>
                <w:rFonts w:cs="Arial"/>
                <w:bCs/>
              </w:rPr>
              <w:t>Section A</w:t>
            </w:r>
            <w:r>
              <w:rPr>
                <w:rFonts w:cs="Arial"/>
                <w:bCs/>
              </w:rPr>
              <w:tab/>
              <w:t>–</w:t>
            </w:r>
            <w:r>
              <w:rPr>
                <w:rFonts w:cs="Arial"/>
                <w:bCs/>
              </w:rPr>
              <w:tab/>
              <w:t>T</w:t>
            </w:r>
            <w:r w:rsidR="00E775EA" w:rsidRPr="00DF68C8">
              <w:rPr>
                <w:rFonts w:cs="Arial"/>
                <w:bCs/>
              </w:rPr>
              <w:t>he 201</w:t>
            </w:r>
            <w:r w:rsidR="00425047">
              <w:rPr>
                <w:rFonts w:cs="Arial"/>
                <w:bCs/>
              </w:rPr>
              <w:t>6</w:t>
            </w:r>
            <w:r w:rsidR="00E775EA" w:rsidRPr="00DF68C8">
              <w:rPr>
                <w:rFonts w:cs="Arial"/>
                <w:bCs/>
              </w:rPr>
              <w:t>/1</w:t>
            </w:r>
            <w:r w:rsidR="00425047">
              <w:rPr>
                <w:rFonts w:cs="Arial"/>
                <w:bCs/>
              </w:rPr>
              <w:t>7</w:t>
            </w:r>
            <w:r w:rsidR="00E775EA" w:rsidRPr="00DF68C8">
              <w:rPr>
                <w:rFonts w:cs="Arial"/>
                <w:bCs/>
              </w:rPr>
              <w:t xml:space="preserve"> Revenue Budget</w:t>
            </w:r>
          </w:p>
          <w:p w14:paraId="3C32D22A" w14:textId="77777777" w:rsidR="00E775EA" w:rsidRPr="00DF68C8" w:rsidRDefault="00E775EA" w:rsidP="0049320F">
            <w:pPr>
              <w:tabs>
                <w:tab w:val="left" w:pos="1447"/>
                <w:tab w:val="left" w:pos="1927"/>
              </w:tabs>
              <w:spacing w:after="0"/>
              <w:ind w:right="-46"/>
              <w:rPr>
                <w:rFonts w:cs="Arial"/>
                <w:bCs/>
              </w:rPr>
            </w:pPr>
          </w:p>
        </w:tc>
        <w:tc>
          <w:tcPr>
            <w:tcW w:w="2362" w:type="dxa"/>
          </w:tcPr>
          <w:p w14:paraId="04B5680F" w14:textId="77777777" w:rsidR="008E697B" w:rsidRPr="0049320F" w:rsidRDefault="008E697B" w:rsidP="0049320F">
            <w:pPr>
              <w:spacing w:after="0"/>
              <w:ind w:right="-46"/>
              <w:rPr>
                <w:rFonts w:cs="Arial"/>
                <w:bCs/>
              </w:rPr>
            </w:pPr>
          </w:p>
          <w:p w14:paraId="3E65AFE9" w14:textId="77777777" w:rsidR="00E775EA" w:rsidRPr="0049320F" w:rsidRDefault="00AF2203" w:rsidP="0049320F">
            <w:pPr>
              <w:spacing w:after="0"/>
              <w:ind w:right="-46"/>
              <w:rPr>
                <w:rFonts w:cs="Arial"/>
                <w:bCs/>
              </w:rPr>
            </w:pPr>
            <w:r w:rsidRPr="0049320F">
              <w:rPr>
                <w:rFonts w:cs="Arial"/>
                <w:bCs/>
              </w:rPr>
              <w:t>4</w:t>
            </w:r>
          </w:p>
          <w:p w14:paraId="5E1A5AC7" w14:textId="77777777" w:rsidR="00321030" w:rsidRPr="0049320F" w:rsidRDefault="00321030" w:rsidP="0049320F">
            <w:pPr>
              <w:spacing w:after="0"/>
              <w:ind w:right="-46"/>
              <w:rPr>
                <w:rFonts w:cs="Arial"/>
                <w:bCs/>
              </w:rPr>
            </w:pPr>
          </w:p>
        </w:tc>
      </w:tr>
    </w:tbl>
    <w:p w14:paraId="510CBC4B" w14:textId="77777777" w:rsidR="0037393E" w:rsidRPr="004639F9" w:rsidRDefault="0037393E" w:rsidP="0049320F">
      <w:pPr>
        <w:spacing w:after="0"/>
        <w:ind w:right="-46"/>
        <w:rPr>
          <w:rFonts w:cs="Arial"/>
          <w:b/>
          <w:bCs/>
          <w:sz w:val="22"/>
        </w:rPr>
      </w:pPr>
    </w:p>
    <w:p w14:paraId="70A0718B" w14:textId="77777777" w:rsidR="00B81DFC" w:rsidRDefault="00B81DFC" w:rsidP="0049320F">
      <w:pPr>
        <w:autoSpaceDE/>
        <w:autoSpaceDN/>
        <w:adjustRightInd/>
        <w:spacing w:after="0"/>
        <w:rPr>
          <w:rFonts w:eastAsia="Arial Unicode MS" w:cs="Arial"/>
          <w:b/>
          <w:sz w:val="28"/>
          <w:szCs w:val="28"/>
          <w:u w:color="000000"/>
          <w:lang w:eastAsia="en-GB"/>
        </w:rPr>
      </w:pPr>
      <w:r>
        <w:rPr>
          <w:rFonts w:eastAsia="Arial Unicode MS" w:cs="Arial"/>
          <w:b/>
          <w:sz w:val="28"/>
          <w:szCs w:val="28"/>
          <w:u w:color="000000"/>
          <w:lang w:eastAsia="en-GB"/>
        </w:rPr>
        <w:br w:type="page"/>
      </w:r>
    </w:p>
    <w:p w14:paraId="5630DBB4" w14:textId="77777777" w:rsidR="000A24B3" w:rsidRDefault="000A24B3" w:rsidP="0049320F">
      <w:pPr>
        <w:tabs>
          <w:tab w:val="left" w:pos="851"/>
          <w:tab w:val="left" w:pos="1418"/>
        </w:tabs>
        <w:spacing w:after="0"/>
        <w:rPr>
          <w:rFonts w:eastAsia="Times New Roman" w:cs="Arial"/>
          <w:sz w:val="32"/>
          <w:szCs w:val="32"/>
          <w:lang w:eastAsia="en-GB"/>
        </w:rPr>
      </w:pPr>
    </w:p>
    <w:p w14:paraId="2B696C1F" w14:textId="6EB7E13E" w:rsidR="00B81DFC" w:rsidRPr="005E438B" w:rsidRDefault="00B81DFC" w:rsidP="0049320F">
      <w:pPr>
        <w:tabs>
          <w:tab w:val="left" w:pos="851"/>
          <w:tab w:val="left" w:pos="1418"/>
        </w:tabs>
        <w:spacing w:after="0"/>
        <w:rPr>
          <w:rFonts w:eastAsia="Times New Roman" w:cs="Arial"/>
          <w:sz w:val="32"/>
          <w:szCs w:val="32"/>
          <w:lang w:eastAsia="en-GB"/>
        </w:rPr>
      </w:pPr>
      <w:r w:rsidRPr="005E438B">
        <w:rPr>
          <w:rFonts w:eastAsia="Times New Roman" w:cs="Arial"/>
          <w:sz w:val="32"/>
          <w:szCs w:val="32"/>
          <w:lang w:eastAsia="en-GB"/>
        </w:rPr>
        <w:t>Money Matters – Update on the County Council's Financial Position for 201</w:t>
      </w:r>
      <w:r w:rsidR="00425047">
        <w:rPr>
          <w:rFonts w:eastAsia="Times New Roman" w:cs="Arial"/>
          <w:sz w:val="32"/>
          <w:szCs w:val="32"/>
          <w:lang w:eastAsia="en-GB"/>
        </w:rPr>
        <w:t>6</w:t>
      </w:r>
      <w:r w:rsidRPr="005E438B">
        <w:rPr>
          <w:rFonts w:eastAsia="Times New Roman" w:cs="Arial"/>
          <w:sz w:val="32"/>
          <w:szCs w:val="32"/>
          <w:lang w:eastAsia="en-GB"/>
        </w:rPr>
        <w:t>/1</w:t>
      </w:r>
      <w:r w:rsidR="00425047">
        <w:rPr>
          <w:rFonts w:eastAsia="Times New Roman" w:cs="Arial"/>
          <w:sz w:val="32"/>
          <w:szCs w:val="32"/>
          <w:lang w:eastAsia="en-GB"/>
        </w:rPr>
        <w:t>7</w:t>
      </w:r>
    </w:p>
    <w:p w14:paraId="0665B20A" w14:textId="77777777" w:rsidR="00B81DFC" w:rsidRPr="005E438B" w:rsidRDefault="00B81DFC" w:rsidP="0049320F">
      <w:pPr>
        <w:tabs>
          <w:tab w:val="left" w:pos="851"/>
          <w:tab w:val="left" w:pos="1418"/>
        </w:tabs>
        <w:spacing w:after="0"/>
        <w:rPr>
          <w:rFonts w:eastAsia="Times New Roman" w:cs="Arial"/>
          <w:lang w:eastAsia="en-GB"/>
        </w:rPr>
      </w:pPr>
    </w:p>
    <w:p w14:paraId="066BD5C5" w14:textId="77777777" w:rsidR="00B81DFC" w:rsidRPr="002909E4" w:rsidRDefault="00B81DFC" w:rsidP="0049320F">
      <w:pPr>
        <w:tabs>
          <w:tab w:val="left" w:pos="851"/>
          <w:tab w:val="left" w:pos="1418"/>
        </w:tabs>
        <w:spacing w:after="0"/>
        <w:rPr>
          <w:rFonts w:eastAsia="Times New Roman" w:cs="Arial"/>
          <w:b/>
          <w:lang w:eastAsia="en-GB"/>
        </w:rPr>
      </w:pPr>
      <w:r w:rsidRPr="002909E4">
        <w:rPr>
          <w:rFonts w:eastAsia="Times New Roman" w:cs="Arial"/>
          <w:b/>
          <w:lang w:eastAsia="en-GB"/>
        </w:rPr>
        <w:t>1.</w:t>
      </w:r>
      <w:r>
        <w:rPr>
          <w:rFonts w:eastAsia="Times New Roman" w:cs="Arial"/>
          <w:b/>
          <w:lang w:eastAsia="en-GB"/>
        </w:rPr>
        <w:tab/>
      </w:r>
      <w:r w:rsidRPr="002909E4">
        <w:rPr>
          <w:rFonts w:eastAsia="Times New Roman" w:cs="Arial"/>
          <w:b/>
          <w:lang w:eastAsia="en-GB"/>
        </w:rPr>
        <w:t>Introduction</w:t>
      </w:r>
    </w:p>
    <w:p w14:paraId="71F49984" w14:textId="77777777" w:rsidR="00B81DFC" w:rsidRPr="005E438B" w:rsidRDefault="00B81DFC" w:rsidP="0049320F">
      <w:pPr>
        <w:tabs>
          <w:tab w:val="left" w:pos="851"/>
          <w:tab w:val="left" w:pos="1418"/>
        </w:tabs>
        <w:spacing w:after="0"/>
        <w:rPr>
          <w:rFonts w:eastAsia="Times New Roman" w:cs="Arial"/>
          <w:lang w:eastAsia="en-GB"/>
        </w:rPr>
      </w:pPr>
    </w:p>
    <w:p w14:paraId="4FB24A93" w14:textId="4F94DE13" w:rsidR="00B81DFC" w:rsidRPr="005E438B" w:rsidRDefault="00B81DFC" w:rsidP="0049320F">
      <w:pPr>
        <w:tabs>
          <w:tab w:val="left" w:pos="851"/>
          <w:tab w:val="left" w:pos="1418"/>
        </w:tabs>
        <w:spacing w:after="0"/>
        <w:rPr>
          <w:rFonts w:eastAsia="Times New Roman" w:cs="Arial"/>
          <w:lang w:eastAsia="en-GB"/>
        </w:rPr>
      </w:pPr>
      <w:r w:rsidRPr="005E438B">
        <w:rPr>
          <w:rFonts w:eastAsia="Times New Roman" w:cs="Arial"/>
          <w:lang w:eastAsia="en-GB"/>
        </w:rPr>
        <w:t xml:space="preserve">This report provides an update for </w:t>
      </w:r>
      <w:r w:rsidR="00AC000D">
        <w:rPr>
          <w:rFonts w:eastAsia="Times New Roman" w:cs="Arial"/>
          <w:lang w:eastAsia="en-GB"/>
        </w:rPr>
        <w:t xml:space="preserve">Cabinet </w:t>
      </w:r>
      <w:r w:rsidRPr="005E438B">
        <w:rPr>
          <w:rFonts w:eastAsia="Times New Roman" w:cs="Arial"/>
          <w:lang w:eastAsia="en-GB"/>
        </w:rPr>
        <w:t xml:space="preserve">on the County Council's </w:t>
      </w:r>
      <w:r w:rsidR="005A3FD7" w:rsidRPr="005E438B">
        <w:rPr>
          <w:rFonts w:eastAsia="Times New Roman" w:cs="Arial"/>
          <w:lang w:eastAsia="en-GB"/>
        </w:rPr>
        <w:t>201</w:t>
      </w:r>
      <w:r w:rsidR="00425047">
        <w:rPr>
          <w:rFonts w:eastAsia="Times New Roman" w:cs="Arial"/>
          <w:lang w:eastAsia="en-GB"/>
        </w:rPr>
        <w:t>6</w:t>
      </w:r>
      <w:r w:rsidR="005A3FD7" w:rsidRPr="005E438B">
        <w:rPr>
          <w:rFonts w:eastAsia="Times New Roman" w:cs="Arial"/>
          <w:lang w:eastAsia="en-GB"/>
        </w:rPr>
        <w:t>/1</w:t>
      </w:r>
      <w:r w:rsidR="00425047">
        <w:rPr>
          <w:rFonts w:eastAsia="Times New Roman" w:cs="Arial"/>
          <w:lang w:eastAsia="en-GB"/>
        </w:rPr>
        <w:t>7</w:t>
      </w:r>
      <w:r w:rsidR="005A3FD7" w:rsidRPr="005E438B">
        <w:rPr>
          <w:rFonts w:eastAsia="Times New Roman" w:cs="Arial"/>
          <w:lang w:eastAsia="en-GB"/>
        </w:rPr>
        <w:t xml:space="preserve"> revenue</w:t>
      </w:r>
      <w:r w:rsidR="005A3FD7">
        <w:rPr>
          <w:rFonts w:eastAsia="Times New Roman" w:cs="Arial"/>
          <w:lang w:eastAsia="en-GB"/>
        </w:rPr>
        <w:t xml:space="preserve"> </w:t>
      </w:r>
      <w:r w:rsidRPr="005E438B">
        <w:rPr>
          <w:rFonts w:eastAsia="Times New Roman" w:cs="Arial"/>
          <w:lang w:eastAsia="en-GB"/>
        </w:rPr>
        <w:t>financial position.</w:t>
      </w:r>
    </w:p>
    <w:p w14:paraId="05E3B95B" w14:textId="77777777" w:rsidR="00B81DFC" w:rsidRPr="005E438B" w:rsidRDefault="00B81DFC" w:rsidP="0049320F">
      <w:pPr>
        <w:tabs>
          <w:tab w:val="left" w:pos="851"/>
          <w:tab w:val="left" w:pos="1418"/>
        </w:tabs>
        <w:spacing w:after="0"/>
        <w:rPr>
          <w:rFonts w:eastAsia="Times New Roman" w:cs="Arial"/>
          <w:lang w:eastAsia="en-GB"/>
        </w:rPr>
      </w:pPr>
    </w:p>
    <w:p w14:paraId="0C4A8445" w14:textId="77777777" w:rsidR="00B81DFC" w:rsidRPr="002909E4" w:rsidRDefault="00B81DFC" w:rsidP="0049320F">
      <w:pPr>
        <w:tabs>
          <w:tab w:val="left" w:pos="851"/>
          <w:tab w:val="left" w:pos="1418"/>
        </w:tabs>
        <w:spacing w:after="0"/>
        <w:rPr>
          <w:rFonts w:eastAsia="Times New Roman" w:cs="Arial"/>
          <w:b/>
          <w:lang w:eastAsia="en-GB"/>
        </w:rPr>
      </w:pPr>
      <w:r>
        <w:rPr>
          <w:rFonts w:eastAsia="Times New Roman" w:cs="Arial"/>
          <w:b/>
          <w:lang w:eastAsia="en-GB"/>
        </w:rPr>
        <w:t>2.</w:t>
      </w:r>
      <w:r>
        <w:rPr>
          <w:rFonts w:eastAsia="Times New Roman" w:cs="Arial"/>
          <w:b/>
          <w:lang w:eastAsia="en-GB"/>
        </w:rPr>
        <w:tab/>
      </w:r>
      <w:r w:rsidRPr="002909E4">
        <w:rPr>
          <w:rFonts w:eastAsia="Times New Roman" w:cs="Arial"/>
          <w:b/>
          <w:lang w:eastAsia="en-GB"/>
        </w:rPr>
        <w:t>Summary of the Financial Position</w:t>
      </w:r>
    </w:p>
    <w:p w14:paraId="21C104FD" w14:textId="77777777" w:rsidR="00B81DFC" w:rsidRPr="005E438B" w:rsidRDefault="00B81DFC" w:rsidP="0049320F">
      <w:pPr>
        <w:tabs>
          <w:tab w:val="left" w:pos="851"/>
          <w:tab w:val="left" w:pos="1418"/>
        </w:tabs>
        <w:spacing w:after="0"/>
        <w:rPr>
          <w:rFonts w:eastAsia="Times New Roman" w:cs="Arial"/>
          <w:lang w:eastAsia="en-GB"/>
        </w:rPr>
      </w:pPr>
    </w:p>
    <w:p w14:paraId="69ABE50C" w14:textId="1ECE93D1" w:rsidR="00EC6EA0" w:rsidRPr="00161FFE" w:rsidRDefault="00632984" w:rsidP="0049320F">
      <w:pPr>
        <w:tabs>
          <w:tab w:val="left" w:pos="851"/>
          <w:tab w:val="left" w:pos="1418"/>
        </w:tabs>
        <w:spacing w:after="0"/>
        <w:rPr>
          <w:rFonts w:cs="Arial"/>
        </w:rPr>
      </w:pPr>
      <w:r w:rsidRPr="00161FFE">
        <w:rPr>
          <w:rFonts w:cs="Arial"/>
        </w:rPr>
        <w:t>This report provides a view on the Council's current fina</w:t>
      </w:r>
      <w:r w:rsidR="00F62DAA" w:rsidRPr="00161FFE">
        <w:rPr>
          <w:rFonts w:cs="Arial"/>
        </w:rPr>
        <w:t xml:space="preserve">ncial performance and the anticipated position at the year end. The forecast is based on the information up to the </w:t>
      </w:r>
      <w:r w:rsidR="00F62DAA" w:rsidRPr="00161FFE">
        <w:rPr>
          <w:rFonts w:cs="Arial"/>
          <w:color w:val="auto"/>
        </w:rPr>
        <w:t>end of June 2016.</w:t>
      </w:r>
      <w:r w:rsidR="001C1DAB" w:rsidRPr="00161FFE">
        <w:rPr>
          <w:rFonts w:cs="Arial"/>
          <w:color w:val="auto"/>
        </w:rPr>
        <w:t xml:space="preserve"> The current forecast outturn for the County Council is </w:t>
      </w:r>
      <w:proofErr w:type="gramStart"/>
      <w:r w:rsidR="001C1DAB" w:rsidRPr="00161FFE">
        <w:rPr>
          <w:rFonts w:cs="Arial"/>
          <w:color w:val="auto"/>
        </w:rPr>
        <w:t>an overspend</w:t>
      </w:r>
      <w:proofErr w:type="gramEnd"/>
      <w:r w:rsidR="001C1DAB" w:rsidRPr="00161FFE">
        <w:rPr>
          <w:rFonts w:cs="Arial"/>
          <w:color w:val="auto"/>
        </w:rPr>
        <w:t xml:space="preserve"> of </w:t>
      </w:r>
      <w:r w:rsidR="001C2CA5" w:rsidRPr="00161FFE">
        <w:rPr>
          <w:rFonts w:cs="Arial"/>
          <w:color w:val="auto"/>
        </w:rPr>
        <w:t>£11.267m</w:t>
      </w:r>
      <w:r w:rsidR="00C861A5" w:rsidRPr="00161FFE">
        <w:rPr>
          <w:rFonts w:cs="Arial"/>
          <w:color w:val="auto"/>
        </w:rPr>
        <w:t xml:space="preserve"> and represents a v</w:t>
      </w:r>
      <w:r w:rsidR="00724886" w:rsidRPr="00161FFE">
        <w:rPr>
          <w:rFonts w:cs="Arial"/>
          <w:color w:val="auto"/>
        </w:rPr>
        <w:t xml:space="preserve">ariance of c1.6% against the overall County Council budget. </w:t>
      </w:r>
      <w:r w:rsidR="00886725" w:rsidRPr="00161FFE">
        <w:rPr>
          <w:rFonts w:cs="Arial"/>
          <w:color w:val="auto"/>
        </w:rPr>
        <w:t xml:space="preserve">This is subject to a number of assumptions around the anticipated profile of expenditure for the rest of the year which is difficult to predict in some demand led budget areas. </w:t>
      </w:r>
      <w:r w:rsidR="00724886" w:rsidRPr="00161FFE">
        <w:rPr>
          <w:rFonts w:cs="Arial"/>
          <w:color w:val="auto"/>
        </w:rPr>
        <w:t xml:space="preserve">The report identifies those areas </w:t>
      </w:r>
      <w:r w:rsidR="00886725" w:rsidRPr="00161FFE">
        <w:rPr>
          <w:rFonts w:cs="Arial"/>
          <w:color w:val="auto"/>
        </w:rPr>
        <w:t xml:space="preserve">where forecast pressures exist and will be subject to ongoing detailed review with a focus on controlling </w:t>
      </w:r>
      <w:r w:rsidR="00E3239E" w:rsidRPr="00161FFE">
        <w:rPr>
          <w:rFonts w:cs="Arial"/>
          <w:color w:val="auto"/>
        </w:rPr>
        <w:t xml:space="preserve">and reducing </w:t>
      </w:r>
      <w:r w:rsidR="00886725" w:rsidRPr="00161FFE">
        <w:rPr>
          <w:rFonts w:cs="Arial"/>
          <w:color w:val="auto"/>
        </w:rPr>
        <w:t xml:space="preserve">costs and the delivery of an improved financial position by year-end. </w:t>
      </w:r>
    </w:p>
    <w:p w14:paraId="65328960" w14:textId="0DCBBAE5" w:rsidR="001C1DAB" w:rsidRPr="00161FFE" w:rsidRDefault="001C1DAB" w:rsidP="0049320F">
      <w:pPr>
        <w:tabs>
          <w:tab w:val="left" w:pos="851"/>
          <w:tab w:val="left" w:pos="1418"/>
        </w:tabs>
        <w:spacing w:after="0"/>
        <w:rPr>
          <w:rFonts w:cs="Arial"/>
        </w:rPr>
      </w:pPr>
    </w:p>
    <w:p w14:paraId="5BCD8F53" w14:textId="17EAB6EB" w:rsidR="001C1DAB" w:rsidRPr="00161FFE" w:rsidRDefault="001C1DAB" w:rsidP="0049320F">
      <w:pPr>
        <w:tabs>
          <w:tab w:val="left" w:pos="851"/>
          <w:tab w:val="left" w:pos="1418"/>
        </w:tabs>
        <w:spacing w:after="0"/>
        <w:rPr>
          <w:rFonts w:cs="Arial"/>
        </w:rPr>
      </w:pPr>
      <w:r w:rsidRPr="00161FFE">
        <w:rPr>
          <w:rFonts w:cs="Arial"/>
        </w:rPr>
        <w:t xml:space="preserve">The 2016/17 budget of £713.020m </w:t>
      </w:r>
      <w:r w:rsidR="001A5FB0" w:rsidRPr="00161FFE">
        <w:rPr>
          <w:rFonts w:cs="Arial"/>
        </w:rPr>
        <w:t>includes a significant savings requirement of c£100m</w:t>
      </w:r>
      <w:r w:rsidR="000D2A0E" w:rsidRPr="00161FFE">
        <w:rPr>
          <w:rFonts w:cs="Arial"/>
        </w:rPr>
        <w:t>,</w:t>
      </w:r>
      <w:r w:rsidR="001A5FB0" w:rsidRPr="00161FFE">
        <w:rPr>
          <w:rFonts w:cs="Arial"/>
        </w:rPr>
        <w:t xml:space="preserve"> however many savings will not be fully implemented until 2017/18 or 2018/19 and therefore it was agreed that</w:t>
      </w:r>
      <w:r w:rsidR="000D2A0E" w:rsidRPr="00161FFE">
        <w:rPr>
          <w:rFonts w:cs="Arial"/>
        </w:rPr>
        <w:t xml:space="preserve"> these would be covered by the</w:t>
      </w:r>
      <w:r w:rsidR="001A5FB0" w:rsidRPr="00161FFE">
        <w:rPr>
          <w:rFonts w:cs="Arial"/>
        </w:rPr>
        <w:t xml:space="preserve"> use of reserves.</w:t>
      </w:r>
    </w:p>
    <w:p w14:paraId="5F8D20E9" w14:textId="77777777" w:rsidR="001A5FB0" w:rsidRPr="00161FFE" w:rsidRDefault="001A5FB0" w:rsidP="0049320F">
      <w:pPr>
        <w:tabs>
          <w:tab w:val="left" w:pos="851"/>
          <w:tab w:val="left" w:pos="1418"/>
        </w:tabs>
        <w:spacing w:after="0"/>
        <w:rPr>
          <w:rFonts w:cs="Arial"/>
        </w:rPr>
      </w:pPr>
    </w:p>
    <w:p w14:paraId="25B81C2B" w14:textId="10B19F60" w:rsidR="00E3640A" w:rsidRPr="00161FFE" w:rsidRDefault="001A5FB0" w:rsidP="0049320F">
      <w:pPr>
        <w:tabs>
          <w:tab w:val="left" w:pos="851"/>
          <w:tab w:val="left" w:pos="1418"/>
        </w:tabs>
        <w:spacing w:after="0"/>
        <w:rPr>
          <w:rFonts w:cs="Arial"/>
        </w:rPr>
      </w:pPr>
      <w:r w:rsidRPr="00161FFE">
        <w:rPr>
          <w:rFonts w:cs="Arial"/>
        </w:rPr>
        <w:t xml:space="preserve">The narrative provides details as to progress on the achievement and delivery of the savings </w:t>
      </w:r>
      <w:r w:rsidR="000D2A0E" w:rsidRPr="00161FFE">
        <w:rPr>
          <w:rFonts w:cs="Arial"/>
        </w:rPr>
        <w:t xml:space="preserve">relating to </w:t>
      </w:r>
      <w:r w:rsidRPr="00161FFE">
        <w:rPr>
          <w:rFonts w:cs="Arial"/>
        </w:rPr>
        <w:t>each Head of Service. The level of reserves that were approved to be applied from the transitional reserve</w:t>
      </w:r>
      <w:r w:rsidR="000D2A0E" w:rsidRPr="00161FFE">
        <w:rPr>
          <w:rFonts w:cs="Arial"/>
        </w:rPr>
        <w:t xml:space="preserve"> </w:t>
      </w:r>
      <w:r w:rsidR="00C861A5" w:rsidRPr="00161FFE">
        <w:rPr>
          <w:rFonts w:cs="Arial"/>
        </w:rPr>
        <w:t xml:space="preserve">2016/17 in </w:t>
      </w:r>
      <w:r w:rsidR="000D2A0E" w:rsidRPr="00161FFE">
        <w:rPr>
          <w:rFonts w:cs="Arial"/>
        </w:rPr>
        <w:t>support of the delivery of savings</w:t>
      </w:r>
      <w:r w:rsidRPr="00161FFE">
        <w:rPr>
          <w:rFonts w:cs="Arial"/>
        </w:rPr>
        <w:t xml:space="preserve"> was £</w:t>
      </w:r>
      <w:r w:rsidR="00D94430" w:rsidRPr="00161FFE">
        <w:rPr>
          <w:rFonts w:cs="Arial"/>
        </w:rPr>
        <w:t>46.</w:t>
      </w:r>
      <w:r w:rsidR="00A64BFF" w:rsidRPr="00161FFE">
        <w:rPr>
          <w:rFonts w:cs="Arial"/>
        </w:rPr>
        <w:t>41</w:t>
      </w:r>
      <w:r w:rsidR="00760340" w:rsidRPr="00161FFE">
        <w:rPr>
          <w:rFonts w:cs="Arial"/>
        </w:rPr>
        <w:t>7</w:t>
      </w:r>
      <w:r w:rsidR="00D94430" w:rsidRPr="00161FFE">
        <w:rPr>
          <w:rFonts w:cs="Arial"/>
        </w:rPr>
        <w:t>m</w:t>
      </w:r>
      <w:r w:rsidRPr="00161FFE">
        <w:rPr>
          <w:rFonts w:cs="Arial"/>
        </w:rPr>
        <w:t xml:space="preserve"> and the amount that is now f</w:t>
      </w:r>
      <w:r w:rsidR="00CD685E" w:rsidRPr="00161FFE">
        <w:rPr>
          <w:rFonts w:cs="Arial"/>
        </w:rPr>
        <w:t>orecast to be required is £</w:t>
      </w:r>
      <w:r w:rsidR="008D57E6" w:rsidRPr="00161FFE">
        <w:rPr>
          <w:rFonts w:cs="Arial"/>
        </w:rPr>
        <w:t>40.720</w:t>
      </w:r>
      <w:r w:rsidR="00D94430" w:rsidRPr="00161FFE">
        <w:rPr>
          <w:rFonts w:cs="Arial"/>
        </w:rPr>
        <w:t>m</w:t>
      </w:r>
      <w:r w:rsidR="0013674C" w:rsidRPr="00161FFE">
        <w:rPr>
          <w:rFonts w:cs="Arial"/>
        </w:rPr>
        <w:t>.</w:t>
      </w:r>
      <w:r w:rsidR="00E3239E" w:rsidRPr="00161FFE">
        <w:rPr>
          <w:rFonts w:cs="Arial"/>
        </w:rPr>
        <w:t xml:space="preserve"> </w:t>
      </w:r>
      <w:r w:rsidR="0013674C" w:rsidRPr="00161FFE">
        <w:rPr>
          <w:rFonts w:cs="Arial"/>
        </w:rPr>
        <w:t xml:space="preserve">This is due to early delivery of some savings, particularly through staff vacancies and turnover, </w:t>
      </w:r>
      <w:r w:rsidR="00E3239E" w:rsidRPr="00161FFE">
        <w:rPr>
          <w:rFonts w:cs="Arial"/>
        </w:rPr>
        <w:t xml:space="preserve">although this is partially offset by some </w:t>
      </w:r>
      <w:r w:rsidR="00E3640A" w:rsidRPr="00161FFE">
        <w:rPr>
          <w:rFonts w:cs="Arial"/>
        </w:rPr>
        <w:t>budget savings that are delayed and will require reserve funding to cover the delay in implementation.</w:t>
      </w:r>
      <w:r w:rsidR="00D44A4D" w:rsidRPr="00161FFE">
        <w:rPr>
          <w:rFonts w:cs="Arial"/>
        </w:rPr>
        <w:t xml:space="preserve"> </w:t>
      </w:r>
    </w:p>
    <w:p w14:paraId="23780BA2" w14:textId="77777777" w:rsidR="00E3640A" w:rsidRPr="00161FFE" w:rsidRDefault="00E3640A" w:rsidP="0049320F">
      <w:pPr>
        <w:tabs>
          <w:tab w:val="left" w:pos="851"/>
          <w:tab w:val="left" w:pos="1418"/>
        </w:tabs>
        <w:spacing w:after="0"/>
        <w:rPr>
          <w:rFonts w:cs="Arial"/>
        </w:rPr>
      </w:pPr>
    </w:p>
    <w:p w14:paraId="1DDD2EC7" w14:textId="0E5A9D87" w:rsidR="00F62DAA" w:rsidRPr="00161FFE" w:rsidRDefault="00E3640A" w:rsidP="0049320F">
      <w:pPr>
        <w:tabs>
          <w:tab w:val="left" w:pos="851"/>
          <w:tab w:val="left" w:pos="1418"/>
        </w:tabs>
        <w:spacing w:after="0"/>
        <w:rPr>
          <w:rFonts w:cs="Arial"/>
        </w:rPr>
      </w:pPr>
      <w:r w:rsidRPr="00161FFE">
        <w:rPr>
          <w:rFonts w:cs="Arial"/>
        </w:rPr>
        <w:t>In</w:t>
      </w:r>
      <w:r w:rsidR="008A0A19" w:rsidRPr="00161FFE">
        <w:rPr>
          <w:rFonts w:cs="Arial"/>
        </w:rPr>
        <w:t xml:space="preserve"> total the forecast includes £1</w:t>
      </w:r>
      <w:r w:rsidR="009C0806" w:rsidRPr="00161FFE">
        <w:rPr>
          <w:rFonts w:cs="Arial"/>
        </w:rPr>
        <w:t>2</w:t>
      </w:r>
      <w:r w:rsidR="0080679C" w:rsidRPr="00161FFE">
        <w:rPr>
          <w:rFonts w:cs="Arial"/>
        </w:rPr>
        <w:t>9</w:t>
      </w:r>
      <w:r w:rsidR="009C0806" w:rsidRPr="00161FFE">
        <w:rPr>
          <w:rFonts w:cs="Arial"/>
        </w:rPr>
        <w:t>.821</w:t>
      </w:r>
      <w:r w:rsidR="008A0A19" w:rsidRPr="00161FFE">
        <w:rPr>
          <w:rFonts w:cs="Arial"/>
        </w:rPr>
        <w:t>m</w:t>
      </w:r>
      <w:r w:rsidRPr="00161FFE">
        <w:rPr>
          <w:rFonts w:cs="Arial"/>
        </w:rPr>
        <w:t xml:space="preserve"> from reserves</w:t>
      </w:r>
      <w:r w:rsidR="008A0A19" w:rsidRPr="00161FFE">
        <w:rPr>
          <w:rFonts w:cs="Arial"/>
        </w:rPr>
        <w:t xml:space="preserve"> which includes the strategic investment reserve, downsizing reserve, risk management reserve, transitional reserve and specific service reserves. (</w:t>
      </w:r>
      <w:proofErr w:type="gramStart"/>
      <w:r w:rsidR="008A0A19" w:rsidRPr="00161FFE">
        <w:rPr>
          <w:rFonts w:cs="Arial"/>
        </w:rPr>
        <w:t>details</w:t>
      </w:r>
      <w:proofErr w:type="gramEnd"/>
      <w:r w:rsidR="008A0A19" w:rsidRPr="00161FFE">
        <w:rPr>
          <w:rFonts w:cs="Arial"/>
        </w:rPr>
        <w:t xml:space="preserve"> can be found in Appendix B)</w:t>
      </w:r>
      <w:r w:rsidRPr="00161FFE">
        <w:rPr>
          <w:rFonts w:cs="Arial"/>
        </w:rPr>
        <w:t xml:space="preserve">. </w:t>
      </w:r>
      <w:r w:rsidR="008A0A19" w:rsidRPr="00161FFE">
        <w:rPr>
          <w:rFonts w:cs="Arial"/>
        </w:rPr>
        <w:t xml:space="preserve">In additional there are transfers between reserves and contributions to reserves that total £5.228m. </w:t>
      </w:r>
    </w:p>
    <w:p w14:paraId="2EEE5DB7" w14:textId="77777777" w:rsidR="00E3640A" w:rsidRPr="00161FFE" w:rsidRDefault="00E3640A" w:rsidP="0049320F">
      <w:pPr>
        <w:tabs>
          <w:tab w:val="left" w:pos="851"/>
          <w:tab w:val="left" w:pos="1418"/>
        </w:tabs>
        <w:spacing w:after="0"/>
        <w:rPr>
          <w:rFonts w:cs="Arial"/>
        </w:rPr>
      </w:pPr>
    </w:p>
    <w:p w14:paraId="30EFDDE1" w14:textId="6331EEA0" w:rsidR="00D44A4D" w:rsidRPr="00161FFE" w:rsidRDefault="009C0806" w:rsidP="0049320F">
      <w:pPr>
        <w:tabs>
          <w:tab w:val="left" w:pos="851"/>
          <w:tab w:val="left" w:pos="1418"/>
        </w:tabs>
        <w:spacing w:after="0"/>
        <w:rPr>
          <w:rFonts w:cs="Arial"/>
        </w:rPr>
      </w:pPr>
      <w:r w:rsidRPr="00161FFE">
        <w:rPr>
          <w:rFonts w:cs="Arial"/>
        </w:rPr>
        <w:t xml:space="preserve">Delivery of the significant savings programme has been identified as a key risk area and the savings plans are subject to detailed regular scrutiny by the Programme Office and Finance. </w:t>
      </w:r>
    </w:p>
    <w:p w14:paraId="13334522" w14:textId="77777777" w:rsidR="00D44A4D" w:rsidRPr="00161FFE" w:rsidRDefault="00D44A4D" w:rsidP="0049320F">
      <w:pPr>
        <w:tabs>
          <w:tab w:val="left" w:pos="851"/>
          <w:tab w:val="left" w:pos="1418"/>
        </w:tabs>
        <w:spacing w:after="0"/>
        <w:rPr>
          <w:rFonts w:cs="Arial"/>
        </w:rPr>
      </w:pPr>
    </w:p>
    <w:p w14:paraId="58C60891" w14:textId="2631A1F7" w:rsidR="00F62DAA" w:rsidRPr="00161FFE" w:rsidRDefault="00F62DAA" w:rsidP="0049320F">
      <w:pPr>
        <w:tabs>
          <w:tab w:val="left" w:pos="851"/>
          <w:tab w:val="left" w:pos="1418"/>
        </w:tabs>
        <w:spacing w:after="0"/>
        <w:rPr>
          <w:rFonts w:cs="Arial"/>
        </w:rPr>
      </w:pPr>
      <w:r w:rsidRPr="00161FFE">
        <w:rPr>
          <w:rFonts w:cs="Arial"/>
        </w:rPr>
        <w:t xml:space="preserve">The report reflects the organisational structure with detailed budget monitoring undertaken at Head of Service Level </w:t>
      </w:r>
      <w:r w:rsidR="00B931A6" w:rsidRPr="00161FFE">
        <w:rPr>
          <w:rFonts w:cs="Arial"/>
        </w:rPr>
        <w:t>and</w:t>
      </w:r>
      <w:r w:rsidRPr="00161FFE">
        <w:rPr>
          <w:rFonts w:cs="Arial"/>
        </w:rPr>
        <w:t xml:space="preserve"> is summarised in the report up to their appropriate management line</w:t>
      </w:r>
      <w:r w:rsidR="00B931A6" w:rsidRPr="00161FFE">
        <w:rPr>
          <w:rFonts w:cs="Arial"/>
        </w:rPr>
        <w:t>,</w:t>
      </w:r>
      <w:r w:rsidRPr="00161FFE">
        <w:rPr>
          <w:rFonts w:cs="Arial"/>
        </w:rPr>
        <w:t xml:space="preserve"> e</w:t>
      </w:r>
      <w:r w:rsidR="00B931A6" w:rsidRPr="00161FFE">
        <w:rPr>
          <w:rFonts w:cs="Arial"/>
        </w:rPr>
        <w:t>.</w:t>
      </w:r>
      <w:r w:rsidRPr="00161FFE">
        <w:rPr>
          <w:rFonts w:cs="Arial"/>
        </w:rPr>
        <w:t>g</w:t>
      </w:r>
      <w:r w:rsidR="00B931A6" w:rsidRPr="00161FFE">
        <w:rPr>
          <w:rFonts w:cs="Arial"/>
        </w:rPr>
        <w:t>. the</w:t>
      </w:r>
      <w:r w:rsidRPr="00161FFE">
        <w:rPr>
          <w:rFonts w:cs="Arial"/>
        </w:rPr>
        <w:t xml:space="preserve"> Director for Development and Corporate Services. </w:t>
      </w:r>
      <w:r w:rsidR="00B931A6" w:rsidRPr="00161FFE">
        <w:rPr>
          <w:rFonts w:cs="Arial"/>
        </w:rPr>
        <w:t>A</w:t>
      </w:r>
      <w:r w:rsidRPr="00161FFE">
        <w:rPr>
          <w:rFonts w:cs="Arial"/>
        </w:rPr>
        <w:t>ll forecast variances +/-</w:t>
      </w:r>
      <w:r w:rsidR="002F2833" w:rsidRPr="00161FFE">
        <w:rPr>
          <w:rFonts w:cs="Arial"/>
        </w:rPr>
        <w:t xml:space="preserve"> £0.1m are explained within the report along with any mitigating actions being put in place. </w:t>
      </w:r>
    </w:p>
    <w:p w14:paraId="54EC85D1" w14:textId="77777777" w:rsidR="002F2833" w:rsidRPr="00161FFE" w:rsidRDefault="002F2833" w:rsidP="0049320F">
      <w:pPr>
        <w:tabs>
          <w:tab w:val="left" w:pos="851"/>
          <w:tab w:val="left" w:pos="1418"/>
        </w:tabs>
        <w:spacing w:after="0"/>
        <w:rPr>
          <w:rFonts w:cs="Arial"/>
        </w:rPr>
      </w:pPr>
    </w:p>
    <w:p w14:paraId="0E77A8A6" w14:textId="0477CCD9" w:rsidR="002F2833" w:rsidRPr="00161FFE" w:rsidRDefault="002F2833" w:rsidP="0049320F">
      <w:pPr>
        <w:tabs>
          <w:tab w:val="left" w:pos="851"/>
          <w:tab w:val="left" w:pos="1418"/>
        </w:tabs>
        <w:spacing w:after="0"/>
        <w:rPr>
          <w:rFonts w:cs="Arial"/>
        </w:rPr>
      </w:pPr>
      <w:r w:rsidRPr="00161FFE">
        <w:rPr>
          <w:rFonts w:cs="Arial"/>
        </w:rPr>
        <w:t xml:space="preserve">A significant budget realignment has taken place in relation to staffing budgets in Quarter 1 and enables post by post budget monitoring, this </w:t>
      </w:r>
      <w:r w:rsidR="00E3239E" w:rsidRPr="00161FFE">
        <w:rPr>
          <w:rFonts w:cs="Arial"/>
        </w:rPr>
        <w:t>has been a</w:t>
      </w:r>
      <w:r w:rsidRPr="00161FFE">
        <w:rPr>
          <w:rFonts w:cs="Arial"/>
        </w:rPr>
        <w:t xml:space="preserve"> c</w:t>
      </w:r>
      <w:r w:rsidR="00B931A6" w:rsidRPr="00161FFE">
        <w:rPr>
          <w:rFonts w:cs="Arial"/>
        </w:rPr>
        <w:t>ritical</w:t>
      </w:r>
      <w:r w:rsidRPr="00161FFE">
        <w:rPr>
          <w:rFonts w:cs="Arial"/>
        </w:rPr>
        <w:t xml:space="preserve"> piece of work given the importance and value of staffing budgets within the County Council's </w:t>
      </w:r>
      <w:r w:rsidRPr="00161FFE">
        <w:rPr>
          <w:rFonts w:cs="Arial"/>
        </w:rPr>
        <w:lastRenderedPageBreak/>
        <w:t xml:space="preserve">overall budget. </w:t>
      </w:r>
      <w:r w:rsidR="001A5FB0" w:rsidRPr="00161FFE">
        <w:rPr>
          <w:rFonts w:cs="Arial"/>
        </w:rPr>
        <w:t xml:space="preserve">It is currently forecast that the overall staffing underspend will be </w:t>
      </w:r>
      <w:r w:rsidR="008A0A19" w:rsidRPr="00161FFE">
        <w:rPr>
          <w:rFonts w:cs="Arial"/>
        </w:rPr>
        <w:t>c</w:t>
      </w:r>
      <w:r w:rsidR="001A5FB0" w:rsidRPr="00161FFE">
        <w:rPr>
          <w:rFonts w:cs="Arial"/>
        </w:rPr>
        <w:t>£</w:t>
      </w:r>
      <w:r w:rsidR="008A0A19" w:rsidRPr="00161FFE">
        <w:rPr>
          <w:rFonts w:cs="Arial"/>
        </w:rPr>
        <w:t>1.677m</w:t>
      </w:r>
      <w:r w:rsidR="005908FD" w:rsidRPr="00161FFE">
        <w:rPr>
          <w:rFonts w:cs="Arial"/>
        </w:rPr>
        <w:t>.</w:t>
      </w:r>
    </w:p>
    <w:p w14:paraId="57D49B7A" w14:textId="77777777" w:rsidR="002F2833" w:rsidRPr="00161FFE" w:rsidRDefault="002F2833" w:rsidP="0049320F">
      <w:pPr>
        <w:tabs>
          <w:tab w:val="left" w:pos="851"/>
          <w:tab w:val="left" w:pos="1418"/>
        </w:tabs>
        <w:spacing w:after="0"/>
        <w:rPr>
          <w:rFonts w:cs="Arial"/>
        </w:rPr>
      </w:pPr>
    </w:p>
    <w:p w14:paraId="027EFB2B" w14:textId="77777777" w:rsidR="00C23332" w:rsidRPr="00161FFE" w:rsidRDefault="00C23332" w:rsidP="0049320F">
      <w:pPr>
        <w:autoSpaceDE/>
        <w:autoSpaceDN/>
        <w:adjustRightInd/>
        <w:spacing w:after="0"/>
        <w:rPr>
          <w:rFonts w:cs="Arial"/>
          <w:b/>
        </w:rPr>
      </w:pPr>
    </w:p>
    <w:p w14:paraId="5C76531F" w14:textId="77777777" w:rsidR="00B81DFC" w:rsidRPr="00161FFE" w:rsidRDefault="00B81DFC" w:rsidP="0049320F">
      <w:pPr>
        <w:tabs>
          <w:tab w:val="left" w:pos="851"/>
          <w:tab w:val="left" w:pos="1418"/>
        </w:tabs>
        <w:spacing w:after="0"/>
        <w:rPr>
          <w:rFonts w:cs="Arial"/>
          <w:b/>
        </w:rPr>
      </w:pPr>
      <w:r w:rsidRPr="00161FFE">
        <w:rPr>
          <w:rFonts w:cs="Arial"/>
          <w:b/>
        </w:rPr>
        <w:t>2.1</w:t>
      </w:r>
      <w:r w:rsidRPr="00161FFE">
        <w:rPr>
          <w:rFonts w:cs="Arial"/>
          <w:b/>
        </w:rPr>
        <w:tab/>
        <w:t>Recommendations</w:t>
      </w:r>
    </w:p>
    <w:p w14:paraId="1FC0BE1C" w14:textId="77777777" w:rsidR="002F2833" w:rsidRPr="00161FFE" w:rsidRDefault="002F2833" w:rsidP="0049320F">
      <w:pPr>
        <w:tabs>
          <w:tab w:val="left" w:pos="851"/>
          <w:tab w:val="left" w:pos="1418"/>
        </w:tabs>
        <w:spacing w:after="0"/>
        <w:rPr>
          <w:rFonts w:cs="Arial"/>
          <w:b/>
        </w:rPr>
      </w:pPr>
    </w:p>
    <w:p w14:paraId="404A0D24" w14:textId="73E6F72A" w:rsidR="002F2833" w:rsidRPr="00161FFE" w:rsidRDefault="002F2833" w:rsidP="0049320F">
      <w:pPr>
        <w:tabs>
          <w:tab w:val="left" w:pos="851"/>
          <w:tab w:val="left" w:pos="1418"/>
        </w:tabs>
        <w:spacing w:after="0"/>
        <w:rPr>
          <w:rFonts w:cs="Arial"/>
        </w:rPr>
      </w:pPr>
      <w:r w:rsidRPr="00161FFE">
        <w:rPr>
          <w:rFonts w:cs="Arial"/>
        </w:rPr>
        <w:t>Cabinet are asked to:</w:t>
      </w:r>
    </w:p>
    <w:p w14:paraId="425FB670" w14:textId="77777777" w:rsidR="00B81DFC" w:rsidRPr="00161FFE" w:rsidRDefault="00B81DFC" w:rsidP="0049320F">
      <w:pPr>
        <w:tabs>
          <w:tab w:val="left" w:pos="851"/>
          <w:tab w:val="left" w:pos="1418"/>
        </w:tabs>
        <w:spacing w:after="0"/>
        <w:rPr>
          <w:rFonts w:cs="Arial"/>
          <w:b/>
        </w:rPr>
      </w:pPr>
    </w:p>
    <w:p w14:paraId="6CE6BFED" w14:textId="3C848C6E" w:rsidR="00B81DFC" w:rsidRPr="00161FFE" w:rsidRDefault="00B81DFC" w:rsidP="0049320F">
      <w:pPr>
        <w:pStyle w:val="ListParagraph"/>
        <w:numPr>
          <w:ilvl w:val="0"/>
          <w:numId w:val="36"/>
        </w:numPr>
        <w:tabs>
          <w:tab w:val="left" w:pos="851"/>
          <w:tab w:val="left" w:pos="1418"/>
        </w:tabs>
        <w:spacing w:after="0"/>
        <w:rPr>
          <w:rFonts w:cs="Arial"/>
        </w:rPr>
      </w:pPr>
      <w:r w:rsidRPr="00161FFE">
        <w:rPr>
          <w:rFonts w:cs="Arial"/>
        </w:rPr>
        <w:t xml:space="preserve">Note the current financial revenue forecast as at </w:t>
      </w:r>
      <w:r w:rsidR="0097377D" w:rsidRPr="00161FFE">
        <w:rPr>
          <w:rFonts w:cs="Arial"/>
        </w:rPr>
        <w:t xml:space="preserve">the end of quarter </w:t>
      </w:r>
      <w:r w:rsidR="00425047" w:rsidRPr="00161FFE">
        <w:rPr>
          <w:rFonts w:cs="Arial"/>
        </w:rPr>
        <w:t>1</w:t>
      </w:r>
      <w:r w:rsidR="00136FEB" w:rsidRPr="00161FFE">
        <w:rPr>
          <w:rFonts w:cs="Arial"/>
        </w:rPr>
        <w:t>, this is based</w:t>
      </w:r>
      <w:r w:rsidR="00015609" w:rsidRPr="00161FFE">
        <w:rPr>
          <w:rFonts w:cs="Arial"/>
        </w:rPr>
        <w:t xml:space="preserve"> on financial data at the end of </w:t>
      </w:r>
      <w:r w:rsidR="00425047" w:rsidRPr="00161FFE">
        <w:rPr>
          <w:rFonts w:cs="Arial"/>
        </w:rPr>
        <w:t>June</w:t>
      </w:r>
      <w:r w:rsidR="00015609" w:rsidRPr="00161FFE">
        <w:rPr>
          <w:rFonts w:cs="Arial"/>
        </w:rPr>
        <w:t xml:space="preserve"> 201</w:t>
      </w:r>
      <w:r w:rsidR="00425047" w:rsidRPr="00161FFE">
        <w:rPr>
          <w:rFonts w:cs="Arial"/>
        </w:rPr>
        <w:t>6</w:t>
      </w:r>
      <w:r w:rsidRPr="00161FFE">
        <w:rPr>
          <w:rFonts w:cs="Arial"/>
        </w:rPr>
        <w:t>.</w:t>
      </w:r>
    </w:p>
    <w:p w14:paraId="3D55E23C" w14:textId="77777777" w:rsidR="0069067B" w:rsidRPr="00161FFE" w:rsidRDefault="0069067B" w:rsidP="0049320F">
      <w:pPr>
        <w:tabs>
          <w:tab w:val="left" w:pos="851"/>
          <w:tab w:val="left" w:pos="1418"/>
        </w:tabs>
        <w:spacing w:after="0"/>
        <w:rPr>
          <w:rFonts w:cs="Arial"/>
        </w:rPr>
      </w:pPr>
    </w:p>
    <w:p w14:paraId="6B5DCDBF" w14:textId="3BCB4196" w:rsidR="00CC7B0C" w:rsidRPr="00161FFE" w:rsidRDefault="00CC7B0C" w:rsidP="0049320F">
      <w:pPr>
        <w:pStyle w:val="ListParagraph"/>
        <w:numPr>
          <w:ilvl w:val="0"/>
          <w:numId w:val="44"/>
        </w:numPr>
        <w:autoSpaceDE/>
        <w:autoSpaceDN/>
        <w:adjustRightInd/>
        <w:spacing w:after="0"/>
        <w:rPr>
          <w:rFonts w:cs="Arial"/>
        </w:rPr>
      </w:pPr>
      <w:r w:rsidRPr="00161FFE">
        <w:rPr>
          <w:rFonts w:cs="Arial"/>
        </w:rPr>
        <w:br w:type="page"/>
      </w:r>
    </w:p>
    <w:p w14:paraId="08AB12E6" w14:textId="77777777" w:rsidR="00B81DFC" w:rsidRDefault="00B81DFC" w:rsidP="0049320F">
      <w:pPr>
        <w:tabs>
          <w:tab w:val="left" w:pos="851"/>
          <w:tab w:val="left" w:pos="1418"/>
        </w:tabs>
        <w:spacing w:after="0"/>
        <w:ind w:left="567" w:hanging="567"/>
        <w:rPr>
          <w:rFonts w:cs="Arial"/>
        </w:rPr>
      </w:pPr>
    </w:p>
    <w:p w14:paraId="2600B46F" w14:textId="77777777" w:rsidR="007253FF" w:rsidRDefault="007253FF" w:rsidP="0049320F">
      <w:pPr>
        <w:tabs>
          <w:tab w:val="left" w:pos="851"/>
          <w:tab w:val="left" w:pos="1418"/>
        </w:tabs>
        <w:spacing w:after="0"/>
        <w:rPr>
          <w:b/>
        </w:rPr>
      </w:pPr>
      <w:r>
        <w:rPr>
          <w:b/>
        </w:rPr>
        <w:t>3.</w:t>
      </w:r>
      <w:r>
        <w:rPr>
          <w:b/>
        </w:rPr>
        <w:tab/>
      </w:r>
      <w:r w:rsidRPr="002909E4">
        <w:rPr>
          <w:b/>
        </w:rPr>
        <w:t>Section A</w:t>
      </w:r>
    </w:p>
    <w:p w14:paraId="27C82710" w14:textId="77777777" w:rsidR="00367210" w:rsidRDefault="00367210" w:rsidP="0049320F">
      <w:pPr>
        <w:tabs>
          <w:tab w:val="left" w:pos="851"/>
          <w:tab w:val="left" w:pos="1418"/>
        </w:tabs>
        <w:spacing w:after="0"/>
        <w:rPr>
          <w:b/>
        </w:rPr>
      </w:pPr>
    </w:p>
    <w:p w14:paraId="12E271B6" w14:textId="4DB156E2" w:rsidR="00425047" w:rsidRPr="00431B9C" w:rsidRDefault="00367210" w:rsidP="0049320F">
      <w:pPr>
        <w:tabs>
          <w:tab w:val="left" w:pos="851"/>
          <w:tab w:val="left" w:pos="1418"/>
        </w:tabs>
        <w:spacing w:after="0"/>
        <w:rPr>
          <w:highlight w:val="yellow"/>
        </w:rPr>
      </w:pPr>
      <w:r>
        <w:t>Key Issues emerging are as follows:</w:t>
      </w:r>
    </w:p>
    <w:p w14:paraId="27E8B863" w14:textId="77777777" w:rsidR="00425047" w:rsidRDefault="00425047" w:rsidP="0049320F">
      <w:pPr>
        <w:tabs>
          <w:tab w:val="left" w:pos="851"/>
          <w:tab w:val="left" w:pos="1418"/>
        </w:tabs>
        <w:spacing w:after="0"/>
        <w:rPr>
          <w:b/>
        </w:rPr>
      </w:pPr>
    </w:p>
    <w:tbl>
      <w:tblPr>
        <w:tblW w:w="9116" w:type="dxa"/>
        <w:tblLook w:val="04A0" w:firstRow="1" w:lastRow="0" w:firstColumn="1" w:lastColumn="0" w:noHBand="0" w:noVBand="1"/>
      </w:tblPr>
      <w:tblGrid>
        <w:gridCol w:w="781"/>
        <w:gridCol w:w="3973"/>
        <w:gridCol w:w="1454"/>
        <w:gridCol w:w="1454"/>
        <w:gridCol w:w="1454"/>
      </w:tblGrid>
      <w:tr w:rsidR="00431B9C" w:rsidRPr="00425047" w14:paraId="4DAAE82A" w14:textId="77777777" w:rsidTr="00431B9C">
        <w:trPr>
          <w:trHeight w:val="1145"/>
        </w:trPr>
        <w:tc>
          <w:tcPr>
            <w:tcW w:w="781" w:type="dxa"/>
            <w:tcBorders>
              <w:top w:val="single" w:sz="4" w:space="0" w:color="auto"/>
              <w:left w:val="single" w:sz="4" w:space="0" w:color="auto"/>
              <w:bottom w:val="nil"/>
              <w:right w:val="single" w:sz="4" w:space="0" w:color="auto"/>
            </w:tcBorders>
            <w:shd w:val="clear" w:color="000000" w:fill="D9D9D9"/>
            <w:vAlign w:val="bottom"/>
            <w:hideMark/>
          </w:tcPr>
          <w:p w14:paraId="5EC3E67C" w14:textId="77777777" w:rsidR="00431B9C" w:rsidRPr="00425047" w:rsidRDefault="00431B9C" w:rsidP="0049320F">
            <w:pPr>
              <w:autoSpaceDE/>
              <w:autoSpaceDN/>
              <w:adjustRightInd/>
              <w:spacing w:after="0"/>
              <w:ind w:left="-539" w:firstLine="539"/>
              <w:rPr>
                <w:rFonts w:eastAsia="Times New Roman" w:cs="Arial"/>
                <w:b/>
                <w:bCs/>
                <w:sz w:val="20"/>
                <w:szCs w:val="20"/>
                <w:lang w:eastAsia="en-GB"/>
              </w:rPr>
            </w:pPr>
            <w:r w:rsidRPr="00425047">
              <w:rPr>
                <w:rFonts w:eastAsia="Times New Roman" w:cs="Arial"/>
                <w:b/>
                <w:bCs/>
                <w:sz w:val="20"/>
                <w:szCs w:val="20"/>
                <w:lang w:eastAsia="en-GB"/>
              </w:rPr>
              <w:t>Ref</w:t>
            </w:r>
          </w:p>
        </w:tc>
        <w:tc>
          <w:tcPr>
            <w:tcW w:w="3973" w:type="dxa"/>
            <w:tcBorders>
              <w:top w:val="single" w:sz="4" w:space="0" w:color="auto"/>
              <w:left w:val="nil"/>
              <w:bottom w:val="nil"/>
              <w:right w:val="single" w:sz="4" w:space="0" w:color="auto"/>
            </w:tcBorders>
            <w:shd w:val="clear" w:color="000000" w:fill="D9D9D9"/>
            <w:vAlign w:val="bottom"/>
            <w:hideMark/>
          </w:tcPr>
          <w:p w14:paraId="1C6DFB17" w14:textId="77777777" w:rsidR="00431B9C" w:rsidRPr="00425047" w:rsidRDefault="00431B9C" w:rsidP="0049320F">
            <w:pPr>
              <w:autoSpaceDE/>
              <w:autoSpaceDN/>
              <w:adjustRightInd/>
              <w:spacing w:after="0"/>
              <w:rPr>
                <w:rFonts w:eastAsia="Times New Roman" w:cs="Arial"/>
                <w:b/>
                <w:bCs/>
                <w:sz w:val="20"/>
                <w:szCs w:val="20"/>
                <w:lang w:eastAsia="en-GB"/>
              </w:rPr>
            </w:pPr>
            <w:r w:rsidRPr="00425047">
              <w:rPr>
                <w:rFonts w:eastAsia="Times New Roman" w:cs="Arial"/>
                <w:b/>
                <w:bCs/>
                <w:sz w:val="20"/>
                <w:szCs w:val="20"/>
                <w:lang w:eastAsia="en-GB"/>
              </w:rPr>
              <w:t>Service Area</w:t>
            </w:r>
          </w:p>
        </w:tc>
        <w:tc>
          <w:tcPr>
            <w:tcW w:w="1454" w:type="dxa"/>
            <w:tcBorders>
              <w:top w:val="single" w:sz="4" w:space="0" w:color="auto"/>
              <w:left w:val="nil"/>
              <w:bottom w:val="nil"/>
              <w:right w:val="single" w:sz="4" w:space="0" w:color="auto"/>
            </w:tcBorders>
            <w:shd w:val="clear" w:color="000000" w:fill="D9D9D9"/>
            <w:vAlign w:val="bottom"/>
            <w:hideMark/>
          </w:tcPr>
          <w:p w14:paraId="4246653E" w14:textId="77777777" w:rsidR="00431B9C" w:rsidRPr="00425047" w:rsidRDefault="00431B9C" w:rsidP="0049320F">
            <w:pPr>
              <w:autoSpaceDE/>
              <w:autoSpaceDN/>
              <w:adjustRightInd/>
              <w:spacing w:after="0"/>
              <w:rPr>
                <w:rFonts w:eastAsia="Times New Roman" w:cs="Arial"/>
                <w:b/>
                <w:bCs/>
                <w:sz w:val="20"/>
                <w:szCs w:val="20"/>
                <w:lang w:eastAsia="en-GB"/>
              </w:rPr>
            </w:pPr>
            <w:r w:rsidRPr="00425047">
              <w:rPr>
                <w:rFonts w:eastAsia="Times New Roman" w:cs="Arial"/>
                <w:b/>
                <w:bCs/>
                <w:sz w:val="20"/>
                <w:szCs w:val="20"/>
                <w:lang w:eastAsia="en-GB"/>
              </w:rPr>
              <w:t>Approved Budget</w:t>
            </w:r>
          </w:p>
        </w:tc>
        <w:tc>
          <w:tcPr>
            <w:tcW w:w="1454" w:type="dxa"/>
            <w:tcBorders>
              <w:top w:val="single" w:sz="4" w:space="0" w:color="auto"/>
              <w:left w:val="nil"/>
              <w:bottom w:val="nil"/>
              <w:right w:val="single" w:sz="4" w:space="0" w:color="auto"/>
            </w:tcBorders>
            <w:shd w:val="clear" w:color="000000" w:fill="D9D9D9"/>
            <w:vAlign w:val="bottom"/>
            <w:hideMark/>
          </w:tcPr>
          <w:p w14:paraId="21A6C4BB" w14:textId="77777777" w:rsidR="00431B9C" w:rsidRPr="00425047" w:rsidRDefault="00431B9C" w:rsidP="0049320F">
            <w:pPr>
              <w:autoSpaceDE/>
              <w:autoSpaceDN/>
              <w:adjustRightInd/>
              <w:spacing w:after="0"/>
              <w:rPr>
                <w:rFonts w:eastAsia="Times New Roman" w:cs="Arial"/>
                <w:b/>
                <w:bCs/>
                <w:sz w:val="20"/>
                <w:szCs w:val="20"/>
                <w:lang w:eastAsia="en-GB"/>
              </w:rPr>
            </w:pPr>
            <w:r w:rsidRPr="00425047">
              <w:rPr>
                <w:rFonts w:eastAsia="Times New Roman" w:cs="Arial"/>
                <w:b/>
                <w:bCs/>
                <w:sz w:val="20"/>
                <w:szCs w:val="20"/>
                <w:lang w:eastAsia="en-GB"/>
              </w:rPr>
              <w:t>Current Period Forecast Outturn</w:t>
            </w:r>
          </w:p>
        </w:tc>
        <w:tc>
          <w:tcPr>
            <w:tcW w:w="1454" w:type="dxa"/>
            <w:tcBorders>
              <w:top w:val="single" w:sz="4" w:space="0" w:color="auto"/>
              <w:left w:val="nil"/>
              <w:bottom w:val="nil"/>
              <w:right w:val="single" w:sz="4" w:space="0" w:color="auto"/>
            </w:tcBorders>
            <w:shd w:val="clear" w:color="000000" w:fill="D9D9D9"/>
            <w:vAlign w:val="bottom"/>
            <w:hideMark/>
          </w:tcPr>
          <w:p w14:paraId="15D5FF2C" w14:textId="77777777" w:rsidR="00431B9C" w:rsidRPr="00425047" w:rsidRDefault="00431B9C" w:rsidP="0049320F">
            <w:pPr>
              <w:autoSpaceDE/>
              <w:autoSpaceDN/>
              <w:adjustRightInd/>
              <w:spacing w:after="0"/>
              <w:rPr>
                <w:rFonts w:eastAsia="Times New Roman" w:cs="Arial"/>
                <w:b/>
                <w:bCs/>
                <w:sz w:val="20"/>
                <w:szCs w:val="20"/>
                <w:lang w:eastAsia="en-GB"/>
              </w:rPr>
            </w:pPr>
            <w:r w:rsidRPr="00425047">
              <w:rPr>
                <w:rFonts w:eastAsia="Times New Roman" w:cs="Arial"/>
                <w:b/>
                <w:bCs/>
                <w:sz w:val="20"/>
                <w:szCs w:val="20"/>
                <w:lang w:eastAsia="en-GB"/>
              </w:rPr>
              <w:t>Current Period Forecast Variance</w:t>
            </w:r>
          </w:p>
        </w:tc>
      </w:tr>
      <w:tr w:rsidR="00431B9C" w:rsidRPr="00425047" w14:paraId="2BC324CC" w14:textId="77777777" w:rsidTr="00431B9C">
        <w:trPr>
          <w:trHeight w:val="286"/>
        </w:trPr>
        <w:tc>
          <w:tcPr>
            <w:tcW w:w="781" w:type="dxa"/>
            <w:tcBorders>
              <w:top w:val="nil"/>
              <w:left w:val="single" w:sz="4" w:space="0" w:color="auto"/>
              <w:bottom w:val="single" w:sz="4" w:space="0" w:color="auto"/>
              <w:right w:val="single" w:sz="4" w:space="0" w:color="auto"/>
            </w:tcBorders>
            <w:shd w:val="clear" w:color="000000" w:fill="D9D9D9"/>
            <w:vAlign w:val="bottom"/>
            <w:hideMark/>
          </w:tcPr>
          <w:p w14:paraId="30998167" w14:textId="77777777" w:rsidR="00431B9C" w:rsidRPr="00425047" w:rsidRDefault="00431B9C" w:rsidP="0049320F">
            <w:pPr>
              <w:autoSpaceDE/>
              <w:autoSpaceDN/>
              <w:adjustRightInd/>
              <w:spacing w:after="0"/>
              <w:rPr>
                <w:rFonts w:eastAsia="Times New Roman" w:cs="Arial"/>
                <w:b/>
                <w:bCs/>
                <w:sz w:val="20"/>
                <w:szCs w:val="20"/>
                <w:lang w:eastAsia="en-GB"/>
              </w:rPr>
            </w:pPr>
            <w:r w:rsidRPr="00425047">
              <w:rPr>
                <w:rFonts w:eastAsia="Times New Roman" w:cs="Arial"/>
                <w:b/>
                <w:bCs/>
                <w:sz w:val="20"/>
                <w:szCs w:val="20"/>
                <w:lang w:eastAsia="en-GB"/>
              </w:rPr>
              <w:t> </w:t>
            </w:r>
          </w:p>
        </w:tc>
        <w:tc>
          <w:tcPr>
            <w:tcW w:w="3973" w:type="dxa"/>
            <w:tcBorders>
              <w:top w:val="nil"/>
              <w:left w:val="nil"/>
              <w:bottom w:val="single" w:sz="4" w:space="0" w:color="auto"/>
              <w:right w:val="single" w:sz="4" w:space="0" w:color="auto"/>
            </w:tcBorders>
            <w:shd w:val="clear" w:color="000000" w:fill="D9D9D9"/>
            <w:vAlign w:val="bottom"/>
            <w:hideMark/>
          </w:tcPr>
          <w:p w14:paraId="0C0626B6" w14:textId="77777777" w:rsidR="00431B9C" w:rsidRPr="00425047" w:rsidRDefault="00431B9C" w:rsidP="0049320F">
            <w:pPr>
              <w:autoSpaceDE/>
              <w:autoSpaceDN/>
              <w:adjustRightInd/>
              <w:spacing w:after="0"/>
              <w:rPr>
                <w:rFonts w:eastAsia="Times New Roman" w:cs="Arial"/>
                <w:b/>
                <w:bCs/>
                <w:sz w:val="20"/>
                <w:szCs w:val="20"/>
                <w:lang w:eastAsia="en-GB"/>
              </w:rPr>
            </w:pPr>
            <w:r w:rsidRPr="00425047">
              <w:rPr>
                <w:rFonts w:eastAsia="Times New Roman" w:cs="Arial"/>
                <w:b/>
                <w:bCs/>
                <w:sz w:val="20"/>
                <w:szCs w:val="20"/>
                <w:lang w:eastAsia="en-GB"/>
              </w:rPr>
              <w:t> </w:t>
            </w:r>
          </w:p>
        </w:tc>
        <w:tc>
          <w:tcPr>
            <w:tcW w:w="1454" w:type="dxa"/>
            <w:tcBorders>
              <w:top w:val="nil"/>
              <w:left w:val="nil"/>
              <w:bottom w:val="single" w:sz="4" w:space="0" w:color="auto"/>
              <w:right w:val="single" w:sz="4" w:space="0" w:color="auto"/>
            </w:tcBorders>
            <w:shd w:val="clear" w:color="000000" w:fill="D9D9D9"/>
            <w:vAlign w:val="bottom"/>
            <w:hideMark/>
          </w:tcPr>
          <w:p w14:paraId="6307C2DF" w14:textId="77777777" w:rsidR="00431B9C" w:rsidRPr="00425047" w:rsidRDefault="00431B9C" w:rsidP="0049320F">
            <w:pPr>
              <w:autoSpaceDE/>
              <w:autoSpaceDN/>
              <w:adjustRightInd/>
              <w:spacing w:after="0"/>
              <w:rPr>
                <w:rFonts w:eastAsia="Times New Roman" w:cs="Arial"/>
                <w:b/>
                <w:bCs/>
                <w:sz w:val="20"/>
                <w:szCs w:val="20"/>
                <w:lang w:eastAsia="en-GB"/>
              </w:rPr>
            </w:pPr>
            <w:r w:rsidRPr="00425047">
              <w:rPr>
                <w:rFonts w:eastAsia="Times New Roman" w:cs="Arial"/>
                <w:b/>
                <w:bCs/>
                <w:sz w:val="20"/>
                <w:szCs w:val="20"/>
                <w:lang w:eastAsia="en-GB"/>
              </w:rPr>
              <w:t>£m</w:t>
            </w:r>
          </w:p>
        </w:tc>
        <w:tc>
          <w:tcPr>
            <w:tcW w:w="1454" w:type="dxa"/>
            <w:tcBorders>
              <w:top w:val="nil"/>
              <w:left w:val="nil"/>
              <w:bottom w:val="single" w:sz="4" w:space="0" w:color="auto"/>
              <w:right w:val="single" w:sz="4" w:space="0" w:color="auto"/>
            </w:tcBorders>
            <w:shd w:val="clear" w:color="000000" w:fill="D9D9D9"/>
            <w:vAlign w:val="bottom"/>
            <w:hideMark/>
          </w:tcPr>
          <w:p w14:paraId="3BCBCC0A" w14:textId="77777777" w:rsidR="00431B9C" w:rsidRPr="00425047" w:rsidRDefault="00431B9C" w:rsidP="0049320F">
            <w:pPr>
              <w:autoSpaceDE/>
              <w:autoSpaceDN/>
              <w:adjustRightInd/>
              <w:spacing w:after="0"/>
              <w:rPr>
                <w:rFonts w:eastAsia="Times New Roman" w:cs="Arial"/>
                <w:b/>
                <w:bCs/>
                <w:sz w:val="20"/>
                <w:szCs w:val="20"/>
                <w:lang w:eastAsia="en-GB"/>
              </w:rPr>
            </w:pPr>
            <w:r w:rsidRPr="00425047">
              <w:rPr>
                <w:rFonts w:eastAsia="Times New Roman" w:cs="Arial"/>
                <w:b/>
                <w:bCs/>
                <w:sz w:val="20"/>
                <w:szCs w:val="20"/>
                <w:lang w:eastAsia="en-GB"/>
              </w:rPr>
              <w:t>£m</w:t>
            </w:r>
          </w:p>
        </w:tc>
        <w:tc>
          <w:tcPr>
            <w:tcW w:w="1454" w:type="dxa"/>
            <w:tcBorders>
              <w:top w:val="nil"/>
              <w:left w:val="nil"/>
              <w:bottom w:val="single" w:sz="4" w:space="0" w:color="auto"/>
              <w:right w:val="single" w:sz="4" w:space="0" w:color="auto"/>
            </w:tcBorders>
            <w:shd w:val="clear" w:color="000000" w:fill="D9D9D9"/>
            <w:vAlign w:val="bottom"/>
            <w:hideMark/>
          </w:tcPr>
          <w:p w14:paraId="145F6C1C" w14:textId="77777777" w:rsidR="00431B9C" w:rsidRPr="00425047" w:rsidRDefault="00431B9C" w:rsidP="0049320F">
            <w:pPr>
              <w:autoSpaceDE/>
              <w:autoSpaceDN/>
              <w:adjustRightInd/>
              <w:spacing w:after="0"/>
              <w:rPr>
                <w:rFonts w:eastAsia="Times New Roman" w:cs="Arial"/>
                <w:b/>
                <w:bCs/>
                <w:sz w:val="20"/>
                <w:szCs w:val="20"/>
                <w:lang w:eastAsia="en-GB"/>
              </w:rPr>
            </w:pPr>
            <w:r w:rsidRPr="00425047">
              <w:rPr>
                <w:rFonts w:eastAsia="Times New Roman" w:cs="Arial"/>
                <w:b/>
                <w:bCs/>
                <w:sz w:val="20"/>
                <w:szCs w:val="20"/>
                <w:lang w:eastAsia="en-GB"/>
              </w:rPr>
              <w:t>£m</w:t>
            </w:r>
          </w:p>
        </w:tc>
      </w:tr>
      <w:tr w:rsidR="00431B9C" w:rsidRPr="00425047" w14:paraId="752A0825" w14:textId="77777777" w:rsidTr="00431B9C">
        <w:trPr>
          <w:trHeight w:val="286"/>
        </w:trPr>
        <w:tc>
          <w:tcPr>
            <w:tcW w:w="781" w:type="dxa"/>
            <w:tcBorders>
              <w:top w:val="nil"/>
              <w:left w:val="single" w:sz="4" w:space="0" w:color="auto"/>
              <w:bottom w:val="single" w:sz="4" w:space="0" w:color="auto"/>
              <w:right w:val="single" w:sz="4" w:space="0" w:color="auto"/>
            </w:tcBorders>
            <w:shd w:val="clear" w:color="000000" w:fill="FFFFFF"/>
            <w:noWrap/>
            <w:hideMark/>
          </w:tcPr>
          <w:p w14:paraId="7867698B" w14:textId="77777777" w:rsidR="00431B9C" w:rsidRPr="00425047" w:rsidRDefault="00431B9C" w:rsidP="0049320F">
            <w:pPr>
              <w:autoSpaceDE/>
              <w:autoSpaceDN/>
              <w:adjustRightInd/>
              <w:spacing w:after="0"/>
              <w:rPr>
                <w:rFonts w:eastAsia="Times New Roman" w:cs="Arial"/>
                <w:b/>
                <w:bCs/>
                <w:sz w:val="20"/>
                <w:szCs w:val="20"/>
                <w:lang w:eastAsia="en-GB"/>
              </w:rPr>
            </w:pPr>
            <w:r w:rsidRPr="00425047">
              <w:rPr>
                <w:rFonts w:eastAsia="Times New Roman" w:cs="Arial"/>
                <w:b/>
                <w:bCs/>
                <w:sz w:val="20"/>
                <w:szCs w:val="20"/>
                <w:lang w:eastAsia="en-GB"/>
              </w:rPr>
              <w:t>3.1</w:t>
            </w:r>
          </w:p>
        </w:tc>
        <w:tc>
          <w:tcPr>
            <w:tcW w:w="3973" w:type="dxa"/>
            <w:tcBorders>
              <w:top w:val="nil"/>
              <w:left w:val="nil"/>
              <w:bottom w:val="single" w:sz="4" w:space="0" w:color="auto"/>
              <w:right w:val="single" w:sz="4" w:space="0" w:color="auto"/>
            </w:tcBorders>
            <w:shd w:val="clear" w:color="000000" w:fill="FFFFFF"/>
            <w:hideMark/>
          </w:tcPr>
          <w:p w14:paraId="3248E59E" w14:textId="1B842BDD" w:rsidR="00431B9C" w:rsidRPr="00425047" w:rsidRDefault="00431B9C" w:rsidP="0049320F">
            <w:pPr>
              <w:autoSpaceDE/>
              <w:autoSpaceDN/>
              <w:adjustRightInd/>
              <w:spacing w:after="0"/>
              <w:rPr>
                <w:rFonts w:eastAsia="Times New Roman" w:cs="Arial"/>
                <w:sz w:val="20"/>
                <w:szCs w:val="20"/>
                <w:lang w:eastAsia="en-GB"/>
              </w:rPr>
            </w:pPr>
            <w:r>
              <w:rPr>
                <w:rFonts w:eastAsia="Times New Roman" w:cs="Arial"/>
                <w:sz w:val="20"/>
                <w:szCs w:val="20"/>
                <w:lang w:eastAsia="en-GB"/>
              </w:rPr>
              <w:t>ADULTS SERVICES</w:t>
            </w:r>
          </w:p>
        </w:tc>
        <w:tc>
          <w:tcPr>
            <w:tcW w:w="1454" w:type="dxa"/>
            <w:tcBorders>
              <w:top w:val="nil"/>
              <w:left w:val="nil"/>
              <w:bottom w:val="single" w:sz="4" w:space="0" w:color="auto"/>
              <w:right w:val="single" w:sz="4" w:space="0" w:color="auto"/>
            </w:tcBorders>
            <w:shd w:val="clear" w:color="000000" w:fill="FFFFFF"/>
            <w:hideMark/>
          </w:tcPr>
          <w:p w14:paraId="319DBC6F" w14:textId="355562B1" w:rsidR="00431B9C" w:rsidRPr="00425047" w:rsidRDefault="00D965C7" w:rsidP="0003095D">
            <w:pPr>
              <w:autoSpaceDE/>
              <w:autoSpaceDN/>
              <w:adjustRightInd/>
              <w:spacing w:after="0"/>
              <w:rPr>
                <w:rFonts w:eastAsia="Times New Roman" w:cs="Arial"/>
                <w:sz w:val="20"/>
                <w:szCs w:val="20"/>
                <w:lang w:eastAsia="en-GB"/>
              </w:rPr>
            </w:pPr>
            <w:r>
              <w:rPr>
                <w:rFonts w:cs="Arial"/>
                <w:sz w:val="20"/>
                <w:szCs w:val="20"/>
              </w:rPr>
              <w:t>317.</w:t>
            </w:r>
            <w:r w:rsidR="0003095D">
              <w:rPr>
                <w:rFonts w:cs="Arial"/>
                <w:sz w:val="20"/>
                <w:szCs w:val="20"/>
              </w:rPr>
              <w:t>410</w:t>
            </w:r>
          </w:p>
        </w:tc>
        <w:tc>
          <w:tcPr>
            <w:tcW w:w="1454" w:type="dxa"/>
            <w:tcBorders>
              <w:top w:val="nil"/>
              <w:left w:val="nil"/>
              <w:bottom w:val="single" w:sz="4" w:space="0" w:color="auto"/>
              <w:right w:val="single" w:sz="4" w:space="0" w:color="auto"/>
            </w:tcBorders>
            <w:shd w:val="clear" w:color="000000" w:fill="FFFFFF"/>
            <w:hideMark/>
          </w:tcPr>
          <w:p w14:paraId="0B52C698" w14:textId="55C5229D" w:rsidR="00431B9C" w:rsidRPr="00425047" w:rsidRDefault="00D965C7" w:rsidP="0049320F">
            <w:pPr>
              <w:autoSpaceDE/>
              <w:autoSpaceDN/>
              <w:adjustRightInd/>
              <w:spacing w:after="0"/>
              <w:rPr>
                <w:rFonts w:eastAsia="Times New Roman" w:cs="Arial"/>
                <w:sz w:val="20"/>
                <w:szCs w:val="20"/>
                <w:lang w:eastAsia="en-GB"/>
              </w:rPr>
            </w:pPr>
            <w:r>
              <w:rPr>
                <w:rFonts w:eastAsia="Times New Roman" w:cs="Arial"/>
                <w:sz w:val="20"/>
                <w:szCs w:val="20"/>
                <w:lang w:eastAsia="en-GB"/>
              </w:rPr>
              <w:t>3</w:t>
            </w:r>
            <w:r w:rsidR="0003095D">
              <w:rPr>
                <w:rFonts w:eastAsia="Times New Roman" w:cs="Arial"/>
                <w:sz w:val="20"/>
                <w:szCs w:val="20"/>
                <w:lang w:eastAsia="en-GB"/>
              </w:rPr>
              <w:t>22.490</w:t>
            </w:r>
          </w:p>
        </w:tc>
        <w:tc>
          <w:tcPr>
            <w:tcW w:w="1454" w:type="dxa"/>
            <w:tcBorders>
              <w:top w:val="nil"/>
              <w:left w:val="nil"/>
              <w:bottom w:val="single" w:sz="4" w:space="0" w:color="auto"/>
              <w:right w:val="single" w:sz="4" w:space="0" w:color="auto"/>
            </w:tcBorders>
            <w:shd w:val="clear" w:color="000000" w:fill="FFFFFF"/>
            <w:hideMark/>
          </w:tcPr>
          <w:p w14:paraId="019967A6" w14:textId="60D8D116" w:rsidR="00431B9C" w:rsidRPr="00425047" w:rsidRDefault="00191E89" w:rsidP="0049320F">
            <w:pPr>
              <w:autoSpaceDE/>
              <w:autoSpaceDN/>
              <w:adjustRightInd/>
              <w:spacing w:after="0"/>
              <w:rPr>
                <w:rFonts w:eastAsia="Times New Roman" w:cs="Arial"/>
                <w:sz w:val="20"/>
                <w:szCs w:val="20"/>
                <w:lang w:eastAsia="en-GB"/>
              </w:rPr>
            </w:pPr>
            <w:r>
              <w:rPr>
                <w:rFonts w:cs="Arial"/>
                <w:sz w:val="20"/>
                <w:szCs w:val="20"/>
              </w:rPr>
              <w:t>5.080</w:t>
            </w:r>
          </w:p>
        </w:tc>
      </w:tr>
      <w:tr w:rsidR="00484F10" w:rsidRPr="00425047" w14:paraId="165E8327" w14:textId="77777777" w:rsidTr="00484F10">
        <w:trPr>
          <w:trHeight w:val="286"/>
        </w:trPr>
        <w:tc>
          <w:tcPr>
            <w:tcW w:w="781" w:type="dxa"/>
            <w:tcBorders>
              <w:top w:val="nil"/>
              <w:left w:val="single" w:sz="4" w:space="0" w:color="auto"/>
              <w:bottom w:val="single" w:sz="4" w:space="0" w:color="auto"/>
              <w:right w:val="single" w:sz="4" w:space="0" w:color="auto"/>
            </w:tcBorders>
            <w:shd w:val="clear" w:color="000000" w:fill="FFFFFF"/>
            <w:noWrap/>
            <w:hideMark/>
          </w:tcPr>
          <w:p w14:paraId="68876029" w14:textId="77777777" w:rsidR="00484F10" w:rsidRPr="00425047" w:rsidRDefault="00484F10" w:rsidP="0049320F">
            <w:pPr>
              <w:autoSpaceDE/>
              <w:autoSpaceDN/>
              <w:adjustRightInd/>
              <w:spacing w:after="0"/>
              <w:rPr>
                <w:rFonts w:eastAsia="Times New Roman" w:cs="Arial"/>
                <w:b/>
                <w:bCs/>
                <w:sz w:val="20"/>
                <w:szCs w:val="20"/>
                <w:lang w:eastAsia="en-GB"/>
              </w:rPr>
            </w:pPr>
            <w:r w:rsidRPr="00425047">
              <w:rPr>
                <w:rFonts w:eastAsia="Times New Roman" w:cs="Arial"/>
                <w:b/>
                <w:bCs/>
                <w:sz w:val="20"/>
                <w:szCs w:val="20"/>
                <w:lang w:eastAsia="en-GB"/>
              </w:rPr>
              <w:t>3.2</w:t>
            </w:r>
          </w:p>
        </w:tc>
        <w:tc>
          <w:tcPr>
            <w:tcW w:w="3973" w:type="dxa"/>
            <w:tcBorders>
              <w:top w:val="nil"/>
              <w:left w:val="nil"/>
              <w:bottom w:val="single" w:sz="4" w:space="0" w:color="auto"/>
              <w:right w:val="single" w:sz="4" w:space="0" w:color="auto"/>
            </w:tcBorders>
            <w:shd w:val="clear" w:color="000000" w:fill="FFFFFF"/>
            <w:hideMark/>
          </w:tcPr>
          <w:p w14:paraId="2C80FFDA" w14:textId="369417F4" w:rsidR="00484F10" w:rsidRPr="00425047" w:rsidRDefault="00484F10" w:rsidP="0049320F">
            <w:pPr>
              <w:autoSpaceDE/>
              <w:autoSpaceDN/>
              <w:adjustRightInd/>
              <w:spacing w:after="0"/>
              <w:rPr>
                <w:rFonts w:eastAsia="Times New Roman" w:cs="Arial"/>
                <w:sz w:val="20"/>
                <w:szCs w:val="20"/>
                <w:lang w:eastAsia="en-GB"/>
              </w:rPr>
            </w:pPr>
            <w:r>
              <w:rPr>
                <w:rFonts w:eastAsia="Times New Roman" w:cs="Arial"/>
                <w:sz w:val="20"/>
                <w:szCs w:val="20"/>
                <w:lang w:eastAsia="en-GB"/>
              </w:rPr>
              <w:t>CHILDREN'S SERVICES</w:t>
            </w:r>
          </w:p>
        </w:tc>
        <w:tc>
          <w:tcPr>
            <w:tcW w:w="1454" w:type="dxa"/>
            <w:tcBorders>
              <w:top w:val="nil"/>
              <w:left w:val="nil"/>
              <w:bottom w:val="single" w:sz="4" w:space="0" w:color="auto"/>
              <w:right w:val="single" w:sz="4" w:space="0" w:color="auto"/>
            </w:tcBorders>
            <w:shd w:val="clear" w:color="000000" w:fill="FFFFFF"/>
            <w:hideMark/>
          </w:tcPr>
          <w:p w14:paraId="6BE42ACE" w14:textId="26B17828" w:rsidR="00484F10" w:rsidRPr="00425047" w:rsidRDefault="00484F10" w:rsidP="0049320F">
            <w:pPr>
              <w:autoSpaceDE/>
              <w:autoSpaceDN/>
              <w:adjustRightInd/>
              <w:spacing w:after="0"/>
              <w:rPr>
                <w:rFonts w:eastAsia="Times New Roman" w:cs="Arial"/>
                <w:sz w:val="20"/>
                <w:szCs w:val="20"/>
                <w:lang w:eastAsia="en-GB"/>
              </w:rPr>
            </w:pPr>
            <w:r>
              <w:rPr>
                <w:rFonts w:cs="Arial"/>
                <w:sz w:val="20"/>
                <w:szCs w:val="20"/>
              </w:rPr>
              <w:t>119.356</w:t>
            </w:r>
          </w:p>
        </w:tc>
        <w:tc>
          <w:tcPr>
            <w:tcW w:w="1454" w:type="dxa"/>
            <w:tcBorders>
              <w:top w:val="nil"/>
              <w:left w:val="nil"/>
              <w:bottom w:val="single" w:sz="4" w:space="0" w:color="auto"/>
              <w:right w:val="single" w:sz="4" w:space="0" w:color="auto"/>
            </w:tcBorders>
            <w:shd w:val="clear" w:color="auto" w:fill="auto"/>
            <w:vAlign w:val="center"/>
            <w:hideMark/>
          </w:tcPr>
          <w:p w14:paraId="2B4B0E28" w14:textId="0E016A62" w:rsidR="00484F10" w:rsidRPr="00484F10" w:rsidRDefault="00484F10" w:rsidP="0049320F">
            <w:pPr>
              <w:autoSpaceDE/>
              <w:autoSpaceDN/>
              <w:adjustRightInd/>
              <w:spacing w:after="0"/>
              <w:rPr>
                <w:rFonts w:cs="Arial"/>
                <w:sz w:val="20"/>
                <w:szCs w:val="20"/>
              </w:rPr>
            </w:pPr>
            <w:r w:rsidRPr="00484F10">
              <w:rPr>
                <w:rFonts w:cs="Arial"/>
                <w:sz w:val="20"/>
                <w:szCs w:val="20"/>
              </w:rPr>
              <w:t>128.789</w:t>
            </w:r>
          </w:p>
        </w:tc>
        <w:tc>
          <w:tcPr>
            <w:tcW w:w="1454" w:type="dxa"/>
            <w:tcBorders>
              <w:top w:val="nil"/>
              <w:left w:val="nil"/>
              <w:bottom w:val="single" w:sz="4" w:space="0" w:color="auto"/>
              <w:right w:val="single" w:sz="4" w:space="0" w:color="auto"/>
            </w:tcBorders>
            <w:shd w:val="clear" w:color="auto" w:fill="auto"/>
            <w:vAlign w:val="center"/>
            <w:hideMark/>
          </w:tcPr>
          <w:p w14:paraId="796AEEF7" w14:textId="24CE050B" w:rsidR="00484F10" w:rsidRPr="00484F10" w:rsidRDefault="00484F10" w:rsidP="0049320F">
            <w:pPr>
              <w:autoSpaceDE/>
              <w:autoSpaceDN/>
              <w:adjustRightInd/>
              <w:spacing w:after="0"/>
              <w:rPr>
                <w:rFonts w:cs="Arial"/>
                <w:sz w:val="20"/>
                <w:szCs w:val="20"/>
              </w:rPr>
            </w:pPr>
            <w:r w:rsidRPr="00484F10">
              <w:rPr>
                <w:rFonts w:cs="Arial"/>
                <w:sz w:val="20"/>
                <w:szCs w:val="20"/>
              </w:rPr>
              <w:t>9.433</w:t>
            </w:r>
          </w:p>
        </w:tc>
      </w:tr>
      <w:tr w:rsidR="00431B9C" w:rsidRPr="00425047" w14:paraId="1F0EF966" w14:textId="77777777" w:rsidTr="00431B9C">
        <w:trPr>
          <w:trHeight w:val="572"/>
        </w:trPr>
        <w:tc>
          <w:tcPr>
            <w:tcW w:w="781" w:type="dxa"/>
            <w:tcBorders>
              <w:top w:val="nil"/>
              <w:left w:val="single" w:sz="4" w:space="0" w:color="auto"/>
              <w:bottom w:val="single" w:sz="4" w:space="0" w:color="auto"/>
              <w:right w:val="single" w:sz="4" w:space="0" w:color="auto"/>
            </w:tcBorders>
            <w:shd w:val="clear" w:color="000000" w:fill="FFFFFF"/>
            <w:noWrap/>
            <w:hideMark/>
          </w:tcPr>
          <w:p w14:paraId="42DA27BD" w14:textId="77777777" w:rsidR="00431B9C" w:rsidRPr="00425047" w:rsidRDefault="00431B9C" w:rsidP="0049320F">
            <w:pPr>
              <w:autoSpaceDE/>
              <w:autoSpaceDN/>
              <w:adjustRightInd/>
              <w:spacing w:after="0"/>
              <w:rPr>
                <w:rFonts w:eastAsia="Times New Roman" w:cs="Arial"/>
                <w:b/>
                <w:bCs/>
                <w:sz w:val="20"/>
                <w:szCs w:val="20"/>
                <w:lang w:eastAsia="en-GB"/>
              </w:rPr>
            </w:pPr>
            <w:r w:rsidRPr="00425047">
              <w:rPr>
                <w:rFonts w:eastAsia="Times New Roman" w:cs="Arial"/>
                <w:b/>
                <w:bCs/>
                <w:sz w:val="20"/>
                <w:szCs w:val="20"/>
                <w:lang w:eastAsia="en-GB"/>
              </w:rPr>
              <w:t>3.3</w:t>
            </w:r>
          </w:p>
        </w:tc>
        <w:tc>
          <w:tcPr>
            <w:tcW w:w="3973" w:type="dxa"/>
            <w:tcBorders>
              <w:top w:val="nil"/>
              <w:left w:val="nil"/>
              <w:bottom w:val="single" w:sz="4" w:space="0" w:color="auto"/>
              <w:right w:val="single" w:sz="4" w:space="0" w:color="auto"/>
            </w:tcBorders>
            <w:shd w:val="clear" w:color="000000" w:fill="FFFFFF"/>
            <w:hideMark/>
          </w:tcPr>
          <w:p w14:paraId="46335CD2" w14:textId="33BF9EB8" w:rsidR="00431B9C" w:rsidRPr="00425047" w:rsidRDefault="00431B9C" w:rsidP="0049320F">
            <w:pPr>
              <w:autoSpaceDE/>
              <w:autoSpaceDN/>
              <w:adjustRightInd/>
              <w:spacing w:after="0"/>
              <w:rPr>
                <w:rFonts w:eastAsia="Times New Roman" w:cs="Arial"/>
                <w:sz w:val="20"/>
                <w:szCs w:val="20"/>
                <w:lang w:eastAsia="en-GB"/>
              </w:rPr>
            </w:pPr>
            <w:r>
              <w:rPr>
                <w:rFonts w:eastAsia="Times New Roman" w:cs="Arial"/>
                <w:sz w:val="20"/>
                <w:szCs w:val="20"/>
                <w:lang w:eastAsia="en-GB"/>
              </w:rPr>
              <w:t>COMMUNITY SERVICES</w:t>
            </w:r>
          </w:p>
        </w:tc>
        <w:tc>
          <w:tcPr>
            <w:tcW w:w="1454" w:type="dxa"/>
            <w:tcBorders>
              <w:top w:val="nil"/>
              <w:left w:val="nil"/>
              <w:bottom w:val="single" w:sz="4" w:space="0" w:color="auto"/>
              <w:right w:val="single" w:sz="4" w:space="0" w:color="auto"/>
            </w:tcBorders>
            <w:shd w:val="clear" w:color="000000" w:fill="FFFFFF"/>
            <w:hideMark/>
          </w:tcPr>
          <w:p w14:paraId="3B7CB1FE" w14:textId="7117765A" w:rsidR="00431B9C" w:rsidRPr="00425047" w:rsidRDefault="00431B9C" w:rsidP="0049320F">
            <w:pPr>
              <w:autoSpaceDE/>
              <w:autoSpaceDN/>
              <w:adjustRightInd/>
              <w:spacing w:after="0"/>
              <w:rPr>
                <w:rFonts w:eastAsia="Times New Roman" w:cs="Arial"/>
                <w:sz w:val="20"/>
                <w:szCs w:val="20"/>
                <w:lang w:eastAsia="en-GB"/>
              </w:rPr>
            </w:pPr>
            <w:r>
              <w:rPr>
                <w:rFonts w:cs="Arial"/>
                <w:sz w:val="20"/>
                <w:szCs w:val="20"/>
              </w:rPr>
              <w:t>134.610</w:t>
            </w:r>
          </w:p>
        </w:tc>
        <w:tc>
          <w:tcPr>
            <w:tcW w:w="1454" w:type="dxa"/>
            <w:tcBorders>
              <w:top w:val="nil"/>
              <w:left w:val="nil"/>
              <w:bottom w:val="single" w:sz="4" w:space="0" w:color="auto"/>
              <w:right w:val="single" w:sz="4" w:space="0" w:color="auto"/>
            </w:tcBorders>
            <w:shd w:val="clear" w:color="000000" w:fill="FFFFFF"/>
            <w:hideMark/>
          </w:tcPr>
          <w:p w14:paraId="39C51E9D" w14:textId="06CEDD30" w:rsidR="00431B9C" w:rsidRPr="00425047" w:rsidRDefault="00431B9C" w:rsidP="0049320F">
            <w:pPr>
              <w:autoSpaceDE/>
              <w:autoSpaceDN/>
              <w:adjustRightInd/>
              <w:spacing w:after="0"/>
              <w:rPr>
                <w:rFonts w:eastAsia="Times New Roman" w:cs="Arial"/>
                <w:sz w:val="20"/>
                <w:szCs w:val="20"/>
                <w:lang w:eastAsia="en-GB"/>
              </w:rPr>
            </w:pPr>
            <w:r>
              <w:rPr>
                <w:rFonts w:cs="Arial"/>
                <w:sz w:val="20"/>
                <w:szCs w:val="20"/>
              </w:rPr>
              <w:t>136.892</w:t>
            </w:r>
          </w:p>
        </w:tc>
        <w:tc>
          <w:tcPr>
            <w:tcW w:w="1454" w:type="dxa"/>
            <w:tcBorders>
              <w:top w:val="nil"/>
              <w:left w:val="nil"/>
              <w:bottom w:val="single" w:sz="4" w:space="0" w:color="auto"/>
              <w:right w:val="single" w:sz="4" w:space="0" w:color="auto"/>
            </w:tcBorders>
            <w:shd w:val="clear" w:color="000000" w:fill="FFFFFF"/>
            <w:hideMark/>
          </w:tcPr>
          <w:p w14:paraId="5A342F7F" w14:textId="5BA506DB" w:rsidR="00431B9C" w:rsidRPr="00425047" w:rsidRDefault="00431B9C" w:rsidP="0049320F">
            <w:pPr>
              <w:autoSpaceDE/>
              <w:autoSpaceDN/>
              <w:adjustRightInd/>
              <w:spacing w:after="0"/>
              <w:rPr>
                <w:rFonts w:eastAsia="Times New Roman" w:cs="Arial"/>
                <w:sz w:val="20"/>
                <w:szCs w:val="20"/>
                <w:lang w:eastAsia="en-GB"/>
              </w:rPr>
            </w:pPr>
            <w:r>
              <w:rPr>
                <w:rFonts w:cs="Arial"/>
                <w:sz w:val="20"/>
                <w:szCs w:val="20"/>
              </w:rPr>
              <w:t>2.282</w:t>
            </w:r>
          </w:p>
        </w:tc>
      </w:tr>
      <w:tr w:rsidR="00431B9C" w:rsidRPr="00425047" w14:paraId="36FE5DC6" w14:textId="77777777" w:rsidTr="00431B9C">
        <w:trPr>
          <w:trHeight w:val="286"/>
        </w:trPr>
        <w:tc>
          <w:tcPr>
            <w:tcW w:w="781" w:type="dxa"/>
            <w:tcBorders>
              <w:top w:val="nil"/>
              <w:left w:val="single" w:sz="4" w:space="0" w:color="auto"/>
              <w:bottom w:val="single" w:sz="4" w:space="0" w:color="auto"/>
              <w:right w:val="single" w:sz="4" w:space="0" w:color="auto"/>
            </w:tcBorders>
            <w:shd w:val="clear" w:color="000000" w:fill="FFFFFF"/>
            <w:noWrap/>
            <w:hideMark/>
          </w:tcPr>
          <w:p w14:paraId="1C8284DD" w14:textId="77777777" w:rsidR="00431B9C" w:rsidRPr="00425047" w:rsidRDefault="00431B9C" w:rsidP="0049320F">
            <w:pPr>
              <w:autoSpaceDE/>
              <w:autoSpaceDN/>
              <w:adjustRightInd/>
              <w:spacing w:after="0"/>
              <w:rPr>
                <w:rFonts w:eastAsia="Times New Roman" w:cs="Arial"/>
                <w:b/>
                <w:bCs/>
                <w:sz w:val="20"/>
                <w:szCs w:val="20"/>
                <w:lang w:eastAsia="en-GB"/>
              </w:rPr>
            </w:pPr>
            <w:r w:rsidRPr="00425047">
              <w:rPr>
                <w:rFonts w:eastAsia="Times New Roman" w:cs="Arial"/>
                <w:b/>
                <w:bCs/>
                <w:sz w:val="20"/>
                <w:szCs w:val="20"/>
                <w:lang w:eastAsia="en-GB"/>
              </w:rPr>
              <w:t>3.4</w:t>
            </w:r>
          </w:p>
        </w:tc>
        <w:tc>
          <w:tcPr>
            <w:tcW w:w="3973" w:type="dxa"/>
            <w:tcBorders>
              <w:top w:val="nil"/>
              <w:left w:val="nil"/>
              <w:bottom w:val="single" w:sz="4" w:space="0" w:color="auto"/>
              <w:right w:val="single" w:sz="4" w:space="0" w:color="auto"/>
            </w:tcBorders>
            <w:shd w:val="clear" w:color="000000" w:fill="FFFFFF"/>
            <w:hideMark/>
          </w:tcPr>
          <w:p w14:paraId="562FDEB6" w14:textId="0A1161D2" w:rsidR="00431B9C" w:rsidRPr="00425047" w:rsidRDefault="00431B9C" w:rsidP="0049320F">
            <w:pPr>
              <w:autoSpaceDE/>
              <w:autoSpaceDN/>
              <w:adjustRightInd/>
              <w:spacing w:after="0"/>
              <w:rPr>
                <w:rFonts w:eastAsia="Times New Roman" w:cs="Arial"/>
                <w:sz w:val="20"/>
                <w:szCs w:val="20"/>
                <w:lang w:eastAsia="en-GB"/>
              </w:rPr>
            </w:pPr>
            <w:r>
              <w:rPr>
                <w:rFonts w:eastAsia="Times New Roman" w:cs="Arial"/>
                <w:sz w:val="20"/>
                <w:szCs w:val="20"/>
                <w:lang w:eastAsia="en-GB"/>
              </w:rPr>
              <w:t>PUBLIC HEALTH &amp; WELLBEING</w:t>
            </w:r>
          </w:p>
        </w:tc>
        <w:tc>
          <w:tcPr>
            <w:tcW w:w="1454" w:type="dxa"/>
            <w:tcBorders>
              <w:top w:val="nil"/>
              <w:left w:val="nil"/>
              <w:bottom w:val="single" w:sz="4" w:space="0" w:color="auto"/>
              <w:right w:val="single" w:sz="4" w:space="0" w:color="auto"/>
            </w:tcBorders>
            <w:shd w:val="clear" w:color="000000" w:fill="FFFFFF"/>
            <w:hideMark/>
          </w:tcPr>
          <w:p w14:paraId="057FD073" w14:textId="23026294" w:rsidR="00431B9C" w:rsidRPr="00425047" w:rsidRDefault="00431B9C" w:rsidP="0049320F">
            <w:pPr>
              <w:autoSpaceDE/>
              <w:autoSpaceDN/>
              <w:adjustRightInd/>
              <w:spacing w:after="0"/>
              <w:rPr>
                <w:rFonts w:eastAsia="Times New Roman" w:cs="Arial"/>
                <w:sz w:val="20"/>
                <w:szCs w:val="20"/>
                <w:lang w:eastAsia="en-GB"/>
              </w:rPr>
            </w:pPr>
            <w:r>
              <w:rPr>
                <w:rFonts w:cs="Arial"/>
                <w:sz w:val="20"/>
                <w:szCs w:val="20"/>
              </w:rPr>
              <w:t>28.662</w:t>
            </w:r>
          </w:p>
        </w:tc>
        <w:tc>
          <w:tcPr>
            <w:tcW w:w="1454" w:type="dxa"/>
            <w:tcBorders>
              <w:top w:val="nil"/>
              <w:left w:val="nil"/>
              <w:bottom w:val="single" w:sz="4" w:space="0" w:color="auto"/>
              <w:right w:val="single" w:sz="4" w:space="0" w:color="auto"/>
            </w:tcBorders>
            <w:shd w:val="clear" w:color="000000" w:fill="FFFFFF"/>
            <w:hideMark/>
          </w:tcPr>
          <w:p w14:paraId="136C8793" w14:textId="01A2E83A" w:rsidR="00431B9C" w:rsidRPr="00425047" w:rsidRDefault="00431B9C" w:rsidP="0049320F">
            <w:pPr>
              <w:autoSpaceDE/>
              <w:autoSpaceDN/>
              <w:adjustRightInd/>
              <w:spacing w:after="0"/>
              <w:rPr>
                <w:rFonts w:eastAsia="Times New Roman" w:cs="Arial"/>
                <w:sz w:val="20"/>
                <w:szCs w:val="20"/>
                <w:lang w:eastAsia="en-GB"/>
              </w:rPr>
            </w:pPr>
            <w:r>
              <w:rPr>
                <w:rFonts w:cs="Arial"/>
                <w:sz w:val="20"/>
                <w:szCs w:val="20"/>
              </w:rPr>
              <w:t>30.521</w:t>
            </w:r>
          </w:p>
        </w:tc>
        <w:tc>
          <w:tcPr>
            <w:tcW w:w="1454" w:type="dxa"/>
            <w:tcBorders>
              <w:top w:val="nil"/>
              <w:left w:val="nil"/>
              <w:bottom w:val="single" w:sz="4" w:space="0" w:color="auto"/>
              <w:right w:val="single" w:sz="4" w:space="0" w:color="auto"/>
            </w:tcBorders>
            <w:shd w:val="clear" w:color="000000" w:fill="FFFFFF"/>
            <w:hideMark/>
          </w:tcPr>
          <w:p w14:paraId="4599C3EE" w14:textId="4229487A" w:rsidR="00431B9C" w:rsidRPr="00425047" w:rsidRDefault="00431B9C" w:rsidP="0049320F">
            <w:pPr>
              <w:autoSpaceDE/>
              <w:autoSpaceDN/>
              <w:adjustRightInd/>
              <w:spacing w:after="0"/>
              <w:rPr>
                <w:rFonts w:eastAsia="Times New Roman" w:cs="Arial"/>
                <w:sz w:val="20"/>
                <w:szCs w:val="20"/>
                <w:lang w:eastAsia="en-GB"/>
              </w:rPr>
            </w:pPr>
            <w:r>
              <w:rPr>
                <w:rFonts w:cs="Arial"/>
                <w:sz w:val="20"/>
                <w:szCs w:val="20"/>
              </w:rPr>
              <w:t>1.859</w:t>
            </w:r>
          </w:p>
        </w:tc>
      </w:tr>
      <w:tr w:rsidR="00431B9C" w:rsidRPr="00425047" w14:paraId="5D8647F0" w14:textId="77777777" w:rsidTr="00431B9C">
        <w:trPr>
          <w:trHeight w:val="286"/>
        </w:trPr>
        <w:tc>
          <w:tcPr>
            <w:tcW w:w="781" w:type="dxa"/>
            <w:tcBorders>
              <w:top w:val="nil"/>
              <w:left w:val="single" w:sz="4" w:space="0" w:color="auto"/>
              <w:bottom w:val="single" w:sz="4" w:space="0" w:color="auto"/>
              <w:right w:val="single" w:sz="4" w:space="0" w:color="auto"/>
            </w:tcBorders>
            <w:shd w:val="clear" w:color="000000" w:fill="FFFFFF"/>
            <w:noWrap/>
            <w:hideMark/>
          </w:tcPr>
          <w:p w14:paraId="57604660" w14:textId="77777777" w:rsidR="00431B9C" w:rsidRPr="00425047" w:rsidRDefault="00431B9C" w:rsidP="0049320F">
            <w:pPr>
              <w:autoSpaceDE/>
              <w:autoSpaceDN/>
              <w:adjustRightInd/>
              <w:spacing w:after="0"/>
              <w:rPr>
                <w:rFonts w:eastAsia="Times New Roman" w:cs="Arial"/>
                <w:b/>
                <w:bCs/>
                <w:sz w:val="20"/>
                <w:szCs w:val="20"/>
                <w:lang w:eastAsia="en-GB"/>
              </w:rPr>
            </w:pPr>
            <w:r w:rsidRPr="00425047">
              <w:rPr>
                <w:rFonts w:eastAsia="Times New Roman" w:cs="Arial"/>
                <w:b/>
                <w:bCs/>
                <w:sz w:val="20"/>
                <w:szCs w:val="20"/>
                <w:lang w:eastAsia="en-GB"/>
              </w:rPr>
              <w:t>3.5</w:t>
            </w:r>
          </w:p>
        </w:tc>
        <w:tc>
          <w:tcPr>
            <w:tcW w:w="3973" w:type="dxa"/>
            <w:tcBorders>
              <w:top w:val="nil"/>
              <w:left w:val="nil"/>
              <w:bottom w:val="single" w:sz="4" w:space="0" w:color="auto"/>
              <w:right w:val="single" w:sz="4" w:space="0" w:color="auto"/>
            </w:tcBorders>
            <w:shd w:val="clear" w:color="000000" w:fill="FFFFFF"/>
            <w:hideMark/>
          </w:tcPr>
          <w:p w14:paraId="2378BBBA" w14:textId="367325D1" w:rsidR="00431B9C" w:rsidRPr="00425047" w:rsidRDefault="00431B9C" w:rsidP="0049320F">
            <w:pPr>
              <w:autoSpaceDE/>
              <w:autoSpaceDN/>
              <w:adjustRightInd/>
              <w:spacing w:after="0"/>
              <w:rPr>
                <w:rFonts w:eastAsia="Times New Roman" w:cs="Arial"/>
                <w:sz w:val="20"/>
                <w:szCs w:val="20"/>
                <w:lang w:eastAsia="en-GB"/>
              </w:rPr>
            </w:pPr>
            <w:r>
              <w:rPr>
                <w:rFonts w:eastAsia="Times New Roman" w:cs="Arial"/>
                <w:sz w:val="20"/>
                <w:szCs w:val="20"/>
                <w:lang w:eastAsia="en-GB"/>
              </w:rPr>
              <w:t>DEVELOPMENT AND CORPORATE SERVICES</w:t>
            </w:r>
          </w:p>
        </w:tc>
        <w:tc>
          <w:tcPr>
            <w:tcW w:w="1454" w:type="dxa"/>
            <w:tcBorders>
              <w:top w:val="nil"/>
              <w:left w:val="nil"/>
              <w:bottom w:val="single" w:sz="4" w:space="0" w:color="auto"/>
              <w:right w:val="single" w:sz="4" w:space="0" w:color="auto"/>
            </w:tcBorders>
            <w:shd w:val="clear" w:color="000000" w:fill="FFFFFF"/>
            <w:hideMark/>
          </w:tcPr>
          <w:p w14:paraId="69C682CB" w14:textId="203E95C1" w:rsidR="00431B9C" w:rsidRPr="00425047" w:rsidRDefault="00431B9C" w:rsidP="0049320F">
            <w:pPr>
              <w:autoSpaceDE/>
              <w:autoSpaceDN/>
              <w:adjustRightInd/>
              <w:spacing w:after="0"/>
              <w:rPr>
                <w:rFonts w:eastAsia="Times New Roman" w:cs="Arial"/>
                <w:sz w:val="20"/>
                <w:szCs w:val="20"/>
                <w:lang w:eastAsia="en-GB"/>
              </w:rPr>
            </w:pPr>
            <w:r>
              <w:rPr>
                <w:rFonts w:cs="Arial"/>
                <w:sz w:val="20"/>
                <w:szCs w:val="20"/>
              </w:rPr>
              <w:t>40.</w:t>
            </w:r>
            <w:r w:rsidR="0003095D">
              <w:rPr>
                <w:rFonts w:cs="Arial"/>
                <w:sz w:val="20"/>
                <w:szCs w:val="20"/>
              </w:rPr>
              <w:t>147</w:t>
            </w:r>
          </w:p>
        </w:tc>
        <w:tc>
          <w:tcPr>
            <w:tcW w:w="1454" w:type="dxa"/>
            <w:tcBorders>
              <w:top w:val="nil"/>
              <w:left w:val="nil"/>
              <w:bottom w:val="single" w:sz="4" w:space="0" w:color="auto"/>
              <w:right w:val="single" w:sz="4" w:space="0" w:color="auto"/>
            </w:tcBorders>
            <w:shd w:val="clear" w:color="000000" w:fill="FFFFFF"/>
            <w:hideMark/>
          </w:tcPr>
          <w:p w14:paraId="7F9496BC" w14:textId="56F4B30B" w:rsidR="00431B9C" w:rsidRPr="00425047" w:rsidRDefault="0003095D" w:rsidP="0049320F">
            <w:pPr>
              <w:autoSpaceDE/>
              <w:autoSpaceDN/>
              <w:adjustRightInd/>
              <w:spacing w:after="0"/>
              <w:rPr>
                <w:rFonts w:eastAsia="Times New Roman" w:cs="Arial"/>
                <w:sz w:val="20"/>
                <w:szCs w:val="20"/>
                <w:lang w:eastAsia="en-GB"/>
              </w:rPr>
            </w:pPr>
            <w:r>
              <w:rPr>
                <w:rFonts w:cs="Arial"/>
                <w:sz w:val="20"/>
                <w:szCs w:val="20"/>
              </w:rPr>
              <w:t>40.230</w:t>
            </w:r>
          </w:p>
        </w:tc>
        <w:tc>
          <w:tcPr>
            <w:tcW w:w="1454" w:type="dxa"/>
            <w:tcBorders>
              <w:top w:val="nil"/>
              <w:left w:val="nil"/>
              <w:bottom w:val="single" w:sz="4" w:space="0" w:color="auto"/>
              <w:right w:val="single" w:sz="4" w:space="0" w:color="auto"/>
            </w:tcBorders>
            <w:shd w:val="clear" w:color="000000" w:fill="FFFFFF"/>
            <w:hideMark/>
          </w:tcPr>
          <w:p w14:paraId="0267A735" w14:textId="3AA2586D" w:rsidR="00431B9C" w:rsidRPr="00425047" w:rsidRDefault="008F3D84" w:rsidP="0049320F">
            <w:pPr>
              <w:autoSpaceDE/>
              <w:autoSpaceDN/>
              <w:adjustRightInd/>
              <w:spacing w:after="0"/>
              <w:rPr>
                <w:rFonts w:eastAsia="Times New Roman" w:cs="Arial"/>
                <w:sz w:val="20"/>
                <w:szCs w:val="20"/>
                <w:lang w:eastAsia="en-GB"/>
              </w:rPr>
            </w:pPr>
            <w:r>
              <w:rPr>
                <w:rFonts w:cs="Arial"/>
                <w:sz w:val="20"/>
                <w:szCs w:val="20"/>
              </w:rPr>
              <w:t>0.083</w:t>
            </w:r>
          </w:p>
        </w:tc>
      </w:tr>
      <w:tr w:rsidR="00431B9C" w:rsidRPr="00425047" w14:paraId="5153F7CD" w14:textId="77777777" w:rsidTr="00431B9C">
        <w:trPr>
          <w:trHeight w:val="286"/>
        </w:trPr>
        <w:tc>
          <w:tcPr>
            <w:tcW w:w="781" w:type="dxa"/>
            <w:tcBorders>
              <w:top w:val="nil"/>
              <w:left w:val="single" w:sz="4" w:space="0" w:color="auto"/>
              <w:bottom w:val="single" w:sz="4" w:space="0" w:color="auto"/>
              <w:right w:val="single" w:sz="4" w:space="0" w:color="auto"/>
            </w:tcBorders>
            <w:shd w:val="clear" w:color="000000" w:fill="FFFFFF"/>
            <w:noWrap/>
            <w:hideMark/>
          </w:tcPr>
          <w:p w14:paraId="03829810" w14:textId="77777777" w:rsidR="00431B9C" w:rsidRPr="00425047" w:rsidRDefault="00431B9C" w:rsidP="0049320F">
            <w:pPr>
              <w:autoSpaceDE/>
              <w:autoSpaceDN/>
              <w:adjustRightInd/>
              <w:spacing w:after="0"/>
              <w:rPr>
                <w:rFonts w:eastAsia="Times New Roman" w:cs="Arial"/>
                <w:b/>
                <w:bCs/>
                <w:sz w:val="20"/>
                <w:szCs w:val="20"/>
                <w:lang w:eastAsia="en-GB"/>
              </w:rPr>
            </w:pPr>
            <w:r w:rsidRPr="00425047">
              <w:rPr>
                <w:rFonts w:eastAsia="Times New Roman" w:cs="Arial"/>
                <w:b/>
                <w:bCs/>
                <w:sz w:val="20"/>
                <w:szCs w:val="20"/>
                <w:lang w:eastAsia="en-GB"/>
              </w:rPr>
              <w:t>3.6</w:t>
            </w:r>
          </w:p>
        </w:tc>
        <w:tc>
          <w:tcPr>
            <w:tcW w:w="3973" w:type="dxa"/>
            <w:tcBorders>
              <w:top w:val="nil"/>
              <w:left w:val="nil"/>
              <w:bottom w:val="single" w:sz="4" w:space="0" w:color="auto"/>
              <w:right w:val="single" w:sz="4" w:space="0" w:color="auto"/>
            </w:tcBorders>
            <w:shd w:val="clear" w:color="000000" w:fill="FFFFFF"/>
            <w:hideMark/>
          </w:tcPr>
          <w:p w14:paraId="44104812" w14:textId="3EDB267A" w:rsidR="00431B9C" w:rsidRPr="00425047" w:rsidRDefault="00431B9C" w:rsidP="0049320F">
            <w:pPr>
              <w:autoSpaceDE/>
              <w:autoSpaceDN/>
              <w:adjustRightInd/>
              <w:spacing w:after="0"/>
              <w:rPr>
                <w:rFonts w:eastAsia="Times New Roman" w:cs="Arial"/>
                <w:sz w:val="20"/>
                <w:szCs w:val="20"/>
                <w:lang w:eastAsia="en-GB"/>
              </w:rPr>
            </w:pPr>
            <w:r>
              <w:rPr>
                <w:rFonts w:eastAsia="Times New Roman" w:cs="Arial"/>
                <w:sz w:val="20"/>
                <w:szCs w:val="20"/>
                <w:lang w:eastAsia="en-GB"/>
              </w:rPr>
              <w:t>COMMISSIONING</w:t>
            </w:r>
          </w:p>
        </w:tc>
        <w:tc>
          <w:tcPr>
            <w:tcW w:w="1454" w:type="dxa"/>
            <w:tcBorders>
              <w:top w:val="nil"/>
              <w:left w:val="nil"/>
              <w:bottom w:val="single" w:sz="4" w:space="0" w:color="auto"/>
              <w:right w:val="single" w:sz="4" w:space="0" w:color="auto"/>
            </w:tcBorders>
            <w:shd w:val="clear" w:color="000000" w:fill="FFFFFF"/>
            <w:hideMark/>
          </w:tcPr>
          <w:p w14:paraId="3FA9C576" w14:textId="7A57043A" w:rsidR="00431B9C" w:rsidRPr="00425047" w:rsidRDefault="00431B9C" w:rsidP="0049320F">
            <w:pPr>
              <w:autoSpaceDE/>
              <w:autoSpaceDN/>
              <w:adjustRightInd/>
              <w:spacing w:after="0"/>
              <w:rPr>
                <w:rFonts w:eastAsia="Times New Roman" w:cs="Arial"/>
                <w:sz w:val="20"/>
                <w:szCs w:val="20"/>
                <w:lang w:eastAsia="en-GB"/>
              </w:rPr>
            </w:pPr>
            <w:r>
              <w:rPr>
                <w:rFonts w:eastAsia="Times New Roman" w:cs="Arial"/>
                <w:sz w:val="20"/>
                <w:szCs w:val="20"/>
                <w:lang w:eastAsia="en-GB"/>
              </w:rPr>
              <w:t>43.</w:t>
            </w:r>
            <w:r w:rsidR="00594F97">
              <w:rPr>
                <w:rFonts w:eastAsia="Times New Roman" w:cs="Arial"/>
                <w:sz w:val="20"/>
                <w:szCs w:val="20"/>
                <w:lang w:eastAsia="en-GB"/>
              </w:rPr>
              <w:t>470</w:t>
            </w:r>
          </w:p>
        </w:tc>
        <w:tc>
          <w:tcPr>
            <w:tcW w:w="1454" w:type="dxa"/>
            <w:tcBorders>
              <w:top w:val="nil"/>
              <w:left w:val="nil"/>
              <w:bottom w:val="single" w:sz="4" w:space="0" w:color="auto"/>
              <w:right w:val="single" w:sz="4" w:space="0" w:color="auto"/>
            </w:tcBorders>
            <w:shd w:val="clear" w:color="000000" w:fill="FFFFFF"/>
            <w:hideMark/>
          </w:tcPr>
          <w:p w14:paraId="6F09216C" w14:textId="6920E5A0" w:rsidR="00431B9C" w:rsidRPr="00425047" w:rsidRDefault="00524679" w:rsidP="0049320F">
            <w:pPr>
              <w:autoSpaceDE/>
              <w:autoSpaceDN/>
              <w:adjustRightInd/>
              <w:spacing w:after="0"/>
              <w:rPr>
                <w:rFonts w:eastAsia="Times New Roman" w:cs="Arial"/>
                <w:sz w:val="20"/>
                <w:szCs w:val="20"/>
                <w:lang w:eastAsia="en-GB"/>
              </w:rPr>
            </w:pPr>
            <w:r>
              <w:rPr>
                <w:rFonts w:eastAsia="Times New Roman" w:cs="Arial"/>
                <w:sz w:val="20"/>
                <w:szCs w:val="20"/>
                <w:lang w:eastAsia="en-GB"/>
              </w:rPr>
              <w:t>42.639</w:t>
            </w:r>
          </w:p>
        </w:tc>
        <w:tc>
          <w:tcPr>
            <w:tcW w:w="1454" w:type="dxa"/>
            <w:tcBorders>
              <w:top w:val="nil"/>
              <w:left w:val="nil"/>
              <w:bottom w:val="single" w:sz="4" w:space="0" w:color="auto"/>
              <w:right w:val="single" w:sz="4" w:space="0" w:color="auto"/>
            </w:tcBorders>
            <w:shd w:val="clear" w:color="000000" w:fill="FFFFFF"/>
            <w:hideMark/>
          </w:tcPr>
          <w:p w14:paraId="4C54191B" w14:textId="231BCC1B" w:rsidR="00431B9C" w:rsidRPr="00425047" w:rsidRDefault="00431B9C" w:rsidP="0049320F">
            <w:pPr>
              <w:autoSpaceDE/>
              <w:autoSpaceDN/>
              <w:adjustRightInd/>
              <w:spacing w:after="0"/>
              <w:rPr>
                <w:rFonts w:eastAsia="Times New Roman" w:cs="Arial"/>
                <w:sz w:val="20"/>
                <w:szCs w:val="20"/>
                <w:lang w:eastAsia="en-GB"/>
              </w:rPr>
            </w:pPr>
            <w:r>
              <w:rPr>
                <w:rFonts w:cs="Arial"/>
                <w:sz w:val="20"/>
                <w:szCs w:val="20"/>
              </w:rPr>
              <w:t>-0.</w:t>
            </w:r>
            <w:r w:rsidR="00524679">
              <w:rPr>
                <w:rFonts w:cs="Arial"/>
                <w:sz w:val="20"/>
                <w:szCs w:val="20"/>
              </w:rPr>
              <w:t>8</w:t>
            </w:r>
            <w:r>
              <w:rPr>
                <w:rFonts w:cs="Arial"/>
                <w:sz w:val="20"/>
                <w:szCs w:val="20"/>
              </w:rPr>
              <w:t>31</w:t>
            </w:r>
          </w:p>
        </w:tc>
      </w:tr>
      <w:tr w:rsidR="00431B9C" w:rsidRPr="00425047" w14:paraId="13D6DC97" w14:textId="77777777" w:rsidTr="00431B9C">
        <w:trPr>
          <w:trHeight w:val="286"/>
        </w:trPr>
        <w:tc>
          <w:tcPr>
            <w:tcW w:w="781" w:type="dxa"/>
            <w:tcBorders>
              <w:top w:val="nil"/>
              <w:left w:val="single" w:sz="4" w:space="0" w:color="auto"/>
              <w:bottom w:val="single" w:sz="4" w:space="0" w:color="auto"/>
              <w:right w:val="single" w:sz="4" w:space="0" w:color="auto"/>
            </w:tcBorders>
            <w:shd w:val="clear" w:color="000000" w:fill="FFFFFF"/>
            <w:noWrap/>
            <w:hideMark/>
          </w:tcPr>
          <w:p w14:paraId="1D5648E5" w14:textId="77777777" w:rsidR="00431B9C" w:rsidRPr="00425047" w:rsidRDefault="00431B9C" w:rsidP="0049320F">
            <w:pPr>
              <w:autoSpaceDE/>
              <w:autoSpaceDN/>
              <w:adjustRightInd/>
              <w:spacing w:after="0"/>
              <w:rPr>
                <w:rFonts w:eastAsia="Times New Roman" w:cs="Arial"/>
                <w:b/>
                <w:bCs/>
                <w:sz w:val="20"/>
                <w:szCs w:val="20"/>
                <w:lang w:eastAsia="en-GB"/>
              </w:rPr>
            </w:pPr>
            <w:r w:rsidRPr="00425047">
              <w:rPr>
                <w:rFonts w:eastAsia="Times New Roman" w:cs="Arial"/>
                <w:b/>
                <w:bCs/>
                <w:sz w:val="20"/>
                <w:szCs w:val="20"/>
                <w:lang w:eastAsia="en-GB"/>
              </w:rPr>
              <w:t>3.7</w:t>
            </w:r>
          </w:p>
        </w:tc>
        <w:tc>
          <w:tcPr>
            <w:tcW w:w="3973" w:type="dxa"/>
            <w:tcBorders>
              <w:top w:val="nil"/>
              <w:left w:val="nil"/>
              <w:bottom w:val="single" w:sz="4" w:space="0" w:color="auto"/>
              <w:right w:val="single" w:sz="4" w:space="0" w:color="auto"/>
            </w:tcBorders>
            <w:shd w:val="clear" w:color="000000" w:fill="FFFFFF"/>
            <w:hideMark/>
          </w:tcPr>
          <w:p w14:paraId="12372F5E" w14:textId="6BD04B54" w:rsidR="00431B9C" w:rsidRPr="00425047" w:rsidRDefault="00431B9C" w:rsidP="0049320F">
            <w:pPr>
              <w:autoSpaceDE/>
              <w:autoSpaceDN/>
              <w:adjustRightInd/>
              <w:spacing w:after="0"/>
              <w:rPr>
                <w:rFonts w:eastAsia="Times New Roman" w:cs="Arial"/>
                <w:sz w:val="20"/>
                <w:szCs w:val="20"/>
                <w:lang w:eastAsia="en-GB"/>
              </w:rPr>
            </w:pPr>
            <w:r>
              <w:rPr>
                <w:rFonts w:eastAsia="Times New Roman" w:cs="Arial"/>
                <w:sz w:val="20"/>
                <w:szCs w:val="20"/>
                <w:lang w:eastAsia="en-GB"/>
              </w:rPr>
              <w:t>CHIEF EXECUTIVE</w:t>
            </w:r>
          </w:p>
        </w:tc>
        <w:tc>
          <w:tcPr>
            <w:tcW w:w="1454" w:type="dxa"/>
            <w:tcBorders>
              <w:top w:val="nil"/>
              <w:left w:val="nil"/>
              <w:bottom w:val="single" w:sz="4" w:space="0" w:color="auto"/>
              <w:right w:val="single" w:sz="4" w:space="0" w:color="auto"/>
            </w:tcBorders>
            <w:shd w:val="clear" w:color="000000" w:fill="FFFFFF"/>
            <w:hideMark/>
          </w:tcPr>
          <w:p w14:paraId="6A20E923" w14:textId="6BBDE30C" w:rsidR="00431B9C" w:rsidRPr="00425047" w:rsidRDefault="008C24AC" w:rsidP="0049320F">
            <w:pPr>
              <w:autoSpaceDE/>
              <w:autoSpaceDN/>
              <w:adjustRightInd/>
              <w:spacing w:after="0"/>
              <w:rPr>
                <w:rFonts w:eastAsia="Times New Roman" w:cs="Arial"/>
                <w:sz w:val="20"/>
                <w:szCs w:val="20"/>
                <w:lang w:eastAsia="en-GB"/>
              </w:rPr>
            </w:pPr>
            <w:r>
              <w:rPr>
                <w:rFonts w:eastAsia="Times New Roman" w:cs="Arial"/>
                <w:sz w:val="20"/>
                <w:szCs w:val="20"/>
                <w:lang w:eastAsia="en-GB"/>
              </w:rPr>
              <w:t>29.</w:t>
            </w:r>
            <w:r w:rsidR="00C95E08">
              <w:rPr>
                <w:rFonts w:eastAsia="Times New Roman" w:cs="Arial"/>
                <w:sz w:val="20"/>
                <w:szCs w:val="20"/>
                <w:lang w:eastAsia="en-GB"/>
              </w:rPr>
              <w:t>364</w:t>
            </w:r>
          </w:p>
        </w:tc>
        <w:tc>
          <w:tcPr>
            <w:tcW w:w="1454" w:type="dxa"/>
            <w:tcBorders>
              <w:top w:val="nil"/>
              <w:left w:val="nil"/>
              <w:bottom w:val="single" w:sz="4" w:space="0" w:color="auto"/>
              <w:right w:val="single" w:sz="4" w:space="0" w:color="auto"/>
            </w:tcBorders>
            <w:shd w:val="clear" w:color="000000" w:fill="FFFFFF"/>
            <w:hideMark/>
          </w:tcPr>
          <w:p w14:paraId="0B9CC234" w14:textId="6FA769C8" w:rsidR="008C24AC" w:rsidRPr="00425047" w:rsidRDefault="008C24AC" w:rsidP="0049320F">
            <w:pPr>
              <w:autoSpaceDE/>
              <w:autoSpaceDN/>
              <w:adjustRightInd/>
              <w:spacing w:after="0"/>
              <w:rPr>
                <w:rFonts w:eastAsia="Times New Roman" w:cs="Arial"/>
                <w:sz w:val="20"/>
                <w:szCs w:val="20"/>
                <w:lang w:eastAsia="en-GB"/>
              </w:rPr>
            </w:pPr>
            <w:r>
              <w:rPr>
                <w:rFonts w:eastAsia="Times New Roman" w:cs="Arial"/>
                <w:sz w:val="20"/>
                <w:szCs w:val="20"/>
                <w:lang w:eastAsia="en-GB"/>
              </w:rPr>
              <w:t>22.725</w:t>
            </w:r>
          </w:p>
        </w:tc>
        <w:tc>
          <w:tcPr>
            <w:tcW w:w="1454" w:type="dxa"/>
            <w:tcBorders>
              <w:top w:val="nil"/>
              <w:left w:val="nil"/>
              <w:bottom w:val="single" w:sz="4" w:space="0" w:color="auto"/>
              <w:right w:val="single" w:sz="4" w:space="0" w:color="auto"/>
            </w:tcBorders>
            <w:shd w:val="clear" w:color="000000" w:fill="FFFFFF"/>
            <w:hideMark/>
          </w:tcPr>
          <w:p w14:paraId="17D2FA3E" w14:textId="45CF5033" w:rsidR="00431B9C" w:rsidRPr="00425047" w:rsidRDefault="00C95E08" w:rsidP="0049320F">
            <w:pPr>
              <w:autoSpaceDE/>
              <w:autoSpaceDN/>
              <w:adjustRightInd/>
              <w:spacing w:after="0"/>
              <w:rPr>
                <w:rFonts w:eastAsia="Times New Roman" w:cs="Arial"/>
                <w:sz w:val="20"/>
                <w:szCs w:val="20"/>
                <w:lang w:eastAsia="en-GB"/>
              </w:rPr>
            </w:pPr>
            <w:r>
              <w:rPr>
                <w:rFonts w:eastAsia="Times New Roman" w:cs="Arial"/>
                <w:sz w:val="20"/>
                <w:szCs w:val="20"/>
                <w:lang w:eastAsia="en-GB"/>
              </w:rPr>
              <w:t>-6.639</w:t>
            </w:r>
          </w:p>
        </w:tc>
      </w:tr>
      <w:tr w:rsidR="00431B9C" w:rsidRPr="00425047" w14:paraId="5E6FEE98" w14:textId="77777777" w:rsidTr="00431B9C">
        <w:trPr>
          <w:trHeight w:val="286"/>
        </w:trPr>
        <w:tc>
          <w:tcPr>
            <w:tcW w:w="781" w:type="dxa"/>
            <w:tcBorders>
              <w:top w:val="nil"/>
              <w:left w:val="single" w:sz="4" w:space="0" w:color="auto"/>
              <w:bottom w:val="single" w:sz="4" w:space="0" w:color="auto"/>
              <w:right w:val="single" w:sz="4" w:space="0" w:color="auto"/>
            </w:tcBorders>
            <w:shd w:val="clear" w:color="000000" w:fill="D9D9D9"/>
            <w:vAlign w:val="center"/>
            <w:hideMark/>
          </w:tcPr>
          <w:p w14:paraId="0708B87E" w14:textId="77777777" w:rsidR="00431B9C" w:rsidRPr="00425047" w:rsidRDefault="00431B9C" w:rsidP="0049320F">
            <w:pPr>
              <w:autoSpaceDE/>
              <w:autoSpaceDN/>
              <w:adjustRightInd/>
              <w:spacing w:after="0"/>
              <w:rPr>
                <w:rFonts w:eastAsia="Times New Roman" w:cs="Arial"/>
                <w:b/>
                <w:bCs/>
                <w:sz w:val="20"/>
                <w:szCs w:val="20"/>
                <w:lang w:eastAsia="en-GB"/>
              </w:rPr>
            </w:pPr>
            <w:r w:rsidRPr="00425047">
              <w:rPr>
                <w:rFonts w:eastAsia="Times New Roman" w:cs="Arial"/>
                <w:b/>
                <w:bCs/>
                <w:sz w:val="20"/>
                <w:szCs w:val="20"/>
                <w:lang w:eastAsia="en-GB"/>
              </w:rPr>
              <w:t> </w:t>
            </w:r>
          </w:p>
        </w:tc>
        <w:tc>
          <w:tcPr>
            <w:tcW w:w="3973" w:type="dxa"/>
            <w:tcBorders>
              <w:top w:val="nil"/>
              <w:left w:val="nil"/>
              <w:bottom w:val="single" w:sz="4" w:space="0" w:color="auto"/>
              <w:right w:val="single" w:sz="4" w:space="0" w:color="auto"/>
            </w:tcBorders>
            <w:shd w:val="clear" w:color="000000" w:fill="D9D9D9"/>
            <w:vAlign w:val="center"/>
            <w:hideMark/>
          </w:tcPr>
          <w:p w14:paraId="749A6275" w14:textId="77777777" w:rsidR="00431B9C" w:rsidRPr="00425047" w:rsidRDefault="00431B9C" w:rsidP="0049320F">
            <w:pPr>
              <w:autoSpaceDE/>
              <w:autoSpaceDN/>
              <w:adjustRightInd/>
              <w:spacing w:after="0"/>
              <w:rPr>
                <w:rFonts w:eastAsia="Times New Roman" w:cs="Arial"/>
                <w:b/>
                <w:bCs/>
                <w:sz w:val="20"/>
                <w:szCs w:val="20"/>
                <w:lang w:eastAsia="en-GB"/>
              </w:rPr>
            </w:pPr>
            <w:r w:rsidRPr="00425047">
              <w:rPr>
                <w:rFonts w:eastAsia="Times New Roman" w:cs="Arial"/>
                <w:b/>
                <w:bCs/>
                <w:sz w:val="20"/>
                <w:szCs w:val="20"/>
                <w:lang w:eastAsia="en-GB"/>
              </w:rPr>
              <w:t>TOTAL</w:t>
            </w:r>
          </w:p>
        </w:tc>
        <w:tc>
          <w:tcPr>
            <w:tcW w:w="1454" w:type="dxa"/>
            <w:tcBorders>
              <w:top w:val="nil"/>
              <w:left w:val="nil"/>
              <w:bottom w:val="single" w:sz="4" w:space="0" w:color="auto"/>
              <w:right w:val="single" w:sz="4" w:space="0" w:color="auto"/>
            </w:tcBorders>
            <w:shd w:val="clear" w:color="000000" w:fill="D9D9D9"/>
            <w:vAlign w:val="center"/>
            <w:hideMark/>
          </w:tcPr>
          <w:p w14:paraId="61C0148B" w14:textId="77777777" w:rsidR="00431B9C" w:rsidRPr="00425047" w:rsidRDefault="00431B9C" w:rsidP="0049320F">
            <w:pPr>
              <w:autoSpaceDE/>
              <w:autoSpaceDN/>
              <w:adjustRightInd/>
              <w:spacing w:after="0"/>
              <w:rPr>
                <w:rFonts w:eastAsia="Times New Roman" w:cs="Arial"/>
                <w:b/>
                <w:bCs/>
                <w:sz w:val="20"/>
                <w:szCs w:val="20"/>
                <w:lang w:eastAsia="en-GB"/>
              </w:rPr>
            </w:pPr>
            <w:r>
              <w:rPr>
                <w:rFonts w:cs="Arial"/>
                <w:b/>
                <w:bCs/>
                <w:sz w:val="20"/>
                <w:szCs w:val="20"/>
              </w:rPr>
              <w:t xml:space="preserve">713.020 </w:t>
            </w:r>
          </w:p>
        </w:tc>
        <w:tc>
          <w:tcPr>
            <w:tcW w:w="1454" w:type="dxa"/>
            <w:tcBorders>
              <w:top w:val="nil"/>
              <w:left w:val="nil"/>
              <w:bottom w:val="single" w:sz="4" w:space="0" w:color="auto"/>
              <w:right w:val="single" w:sz="4" w:space="0" w:color="auto"/>
            </w:tcBorders>
            <w:shd w:val="clear" w:color="000000" w:fill="D9D9D9"/>
            <w:vAlign w:val="center"/>
            <w:hideMark/>
          </w:tcPr>
          <w:p w14:paraId="20E10405" w14:textId="375DCC89" w:rsidR="00431B9C" w:rsidRPr="00484F10" w:rsidRDefault="00436CA0" w:rsidP="0049320F">
            <w:pPr>
              <w:autoSpaceDE/>
              <w:autoSpaceDN/>
              <w:adjustRightInd/>
              <w:spacing w:after="0"/>
              <w:rPr>
                <w:rFonts w:cs="Arial"/>
                <w:b/>
                <w:bCs/>
                <w:sz w:val="20"/>
                <w:szCs w:val="20"/>
              </w:rPr>
            </w:pPr>
            <w:r>
              <w:rPr>
                <w:rFonts w:cs="Arial"/>
                <w:b/>
                <w:bCs/>
                <w:sz w:val="20"/>
                <w:szCs w:val="20"/>
              </w:rPr>
              <w:t>72</w:t>
            </w:r>
            <w:r w:rsidR="00524679">
              <w:rPr>
                <w:rFonts w:cs="Arial"/>
                <w:b/>
                <w:bCs/>
                <w:sz w:val="20"/>
                <w:szCs w:val="20"/>
              </w:rPr>
              <w:t>4.2</w:t>
            </w:r>
            <w:r w:rsidR="00D965C7">
              <w:rPr>
                <w:rFonts w:cs="Arial"/>
                <w:b/>
                <w:bCs/>
                <w:sz w:val="20"/>
                <w:szCs w:val="20"/>
              </w:rPr>
              <w:t>86</w:t>
            </w:r>
            <w:r w:rsidR="00431B9C">
              <w:rPr>
                <w:rFonts w:cs="Arial"/>
                <w:b/>
                <w:bCs/>
                <w:sz w:val="20"/>
                <w:szCs w:val="20"/>
              </w:rPr>
              <w:t xml:space="preserve"> </w:t>
            </w:r>
          </w:p>
        </w:tc>
        <w:tc>
          <w:tcPr>
            <w:tcW w:w="1454" w:type="dxa"/>
            <w:tcBorders>
              <w:top w:val="nil"/>
              <w:left w:val="nil"/>
              <w:bottom w:val="single" w:sz="4" w:space="0" w:color="auto"/>
              <w:right w:val="single" w:sz="4" w:space="0" w:color="auto"/>
            </w:tcBorders>
            <w:shd w:val="clear" w:color="000000" w:fill="D9D9D9"/>
            <w:vAlign w:val="center"/>
            <w:hideMark/>
          </w:tcPr>
          <w:p w14:paraId="73640064" w14:textId="4A3676AC" w:rsidR="00431B9C" w:rsidRPr="00425047" w:rsidRDefault="00436CA0" w:rsidP="0049320F">
            <w:pPr>
              <w:autoSpaceDE/>
              <w:autoSpaceDN/>
              <w:adjustRightInd/>
              <w:spacing w:after="0"/>
              <w:rPr>
                <w:rFonts w:eastAsia="Times New Roman" w:cs="Arial"/>
                <w:b/>
                <w:bCs/>
                <w:sz w:val="20"/>
                <w:szCs w:val="20"/>
                <w:lang w:eastAsia="en-GB"/>
              </w:rPr>
            </w:pPr>
            <w:r>
              <w:rPr>
                <w:rFonts w:cs="Arial"/>
                <w:b/>
                <w:bCs/>
                <w:sz w:val="20"/>
                <w:szCs w:val="20"/>
              </w:rPr>
              <w:t>1</w:t>
            </w:r>
            <w:r w:rsidR="00D965C7">
              <w:rPr>
                <w:rFonts w:cs="Arial"/>
                <w:b/>
                <w:bCs/>
                <w:sz w:val="20"/>
                <w:szCs w:val="20"/>
              </w:rPr>
              <w:t>1.</w:t>
            </w:r>
            <w:r w:rsidR="00524679">
              <w:rPr>
                <w:rFonts w:cs="Arial"/>
                <w:b/>
                <w:bCs/>
                <w:sz w:val="20"/>
                <w:szCs w:val="20"/>
              </w:rPr>
              <w:t>267</w:t>
            </w:r>
          </w:p>
        </w:tc>
      </w:tr>
    </w:tbl>
    <w:p w14:paraId="0C1807CB" w14:textId="4C380010" w:rsidR="003D09BB" w:rsidRDefault="003D09BB" w:rsidP="0049320F">
      <w:pPr>
        <w:autoSpaceDE/>
        <w:autoSpaceDN/>
        <w:adjustRightInd/>
        <w:spacing w:after="0"/>
        <w:rPr>
          <w:b/>
        </w:rPr>
      </w:pPr>
      <w:r>
        <w:rPr>
          <w:b/>
        </w:rPr>
        <w:br w:type="page"/>
      </w:r>
    </w:p>
    <w:p w14:paraId="30FE7DBE" w14:textId="405149C2" w:rsidR="00431B9C" w:rsidRDefault="00DE4B16" w:rsidP="0049320F">
      <w:pPr>
        <w:tabs>
          <w:tab w:val="left" w:pos="851"/>
          <w:tab w:val="left" w:pos="1418"/>
        </w:tabs>
        <w:spacing w:after="0"/>
        <w:rPr>
          <w:b/>
        </w:rPr>
      </w:pPr>
      <w:r>
        <w:rPr>
          <w:b/>
        </w:rPr>
        <w:lastRenderedPageBreak/>
        <w:t>3.1</w:t>
      </w:r>
      <w:r w:rsidR="00431B9C">
        <w:rPr>
          <w:b/>
        </w:rPr>
        <w:tab/>
        <w:t>Operations and Delivery – Adult Services</w:t>
      </w:r>
    </w:p>
    <w:p w14:paraId="2E2AA72F" w14:textId="77777777" w:rsidR="00431B9C" w:rsidRDefault="00431B9C" w:rsidP="0049320F">
      <w:pPr>
        <w:tabs>
          <w:tab w:val="left" w:pos="851"/>
          <w:tab w:val="left" w:pos="1418"/>
        </w:tabs>
        <w:spacing w:after="0"/>
        <w:rPr>
          <w:b/>
        </w:rPr>
      </w:pPr>
    </w:p>
    <w:tbl>
      <w:tblPr>
        <w:tblW w:w="9133" w:type="dxa"/>
        <w:tblLook w:val="04A0" w:firstRow="1" w:lastRow="0" w:firstColumn="1" w:lastColumn="0" w:noHBand="0" w:noVBand="1"/>
      </w:tblPr>
      <w:tblGrid>
        <w:gridCol w:w="782"/>
        <w:gridCol w:w="3980"/>
        <w:gridCol w:w="1457"/>
        <w:gridCol w:w="1457"/>
        <w:gridCol w:w="1457"/>
      </w:tblGrid>
      <w:tr w:rsidR="00431B9C" w:rsidRPr="005674C8" w14:paraId="6A14C658" w14:textId="77777777" w:rsidTr="00431B9C">
        <w:trPr>
          <w:trHeight w:val="1206"/>
        </w:trPr>
        <w:tc>
          <w:tcPr>
            <w:tcW w:w="782" w:type="dxa"/>
            <w:tcBorders>
              <w:top w:val="single" w:sz="4" w:space="0" w:color="auto"/>
              <w:left w:val="single" w:sz="4" w:space="0" w:color="auto"/>
              <w:bottom w:val="nil"/>
              <w:right w:val="single" w:sz="4" w:space="0" w:color="auto"/>
            </w:tcBorders>
            <w:shd w:val="clear" w:color="000000" w:fill="D9D9D9"/>
            <w:vAlign w:val="bottom"/>
            <w:hideMark/>
          </w:tcPr>
          <w:p w14:paraId="355C82A7" w14:textId="77777777" w:rsidR="00431B9C" w:rsidRPr="005674C8" w:rsidRDefault="00431B9C" w:rsidP="0049320F">
            <w:pPr>
              <w:autoSpaceDE/>
              <w:autoSpaceDN/>
              <w:adjustRightInd/>
              <w:spacing w:after="0"/>
              <w:rPr>
                <w:rFonts w:eastAsia="Times New Roman" w:cs="Arial"/>
                <w:b/>
                <w:bCs/>
                <w:sz w:val="20"/>
                <w:szCs w:val="20"/>
                <w:lang w:eastAsia="en-GB"/>
              </w:rPr>
            </w:pPr>
            <w:r w:rsidRPr="005674C8">
              <w:rPr>
                <w:rFonts w:eastAsia="Times New Roman" w:cs="Arial"/>
                <w:b/>
                <w:bCs/>
                <w:sz w:val="20"/>
                <w:szCs w:val="20"/>
                <w:lang w:eastAsia="en-GB"/>
              </w:rPr>
              <w:t>Ref</w:t>
            </w:r>
          </w:p>
        </w:tc>
        <w:tc>
          <w:tcPr>
            <w:tcW w:w="3980" w:type="dxa"/>
            <w:tcBorders>
              <w:top w:val="single" w:sz="4" w:space="0" w:color="auto"/>
              <w:left w:val="nil"/>
              <w:bottom w:val="nil"/>
              <w:right w:val="single" w:sz="4" w:space="0" w:color="auto"/>
            </w:tcBorders>
            <w:shd w:val="clear" w:color="000000" w:fill="D9D9D9"/>
            <w:vAlign w:val="bottom"/>
            <w:hideMark/>
          </w:tcPr>
          <w:p w14:paraId="390D0C92" w14:textId="77777777" w:rsidR="00431B9C" w:rsidRPr="005674C8" w:rsidRDefault="00431B9C" w:rsidP="0049320F">
            <w:pPr>
              <w:autoSpaceDE/>
              <w:autoSpaceDN/>
              <w:adjustRightInd/>
              <w:spacing w:after="0"/>
              <w:rPr>
                <w:rFonts w:eastAsia="Times New Roman" w:cs="Arial"/>
                <w:b/>
                <w:bCs/>
                <w:sz w:val="20"/>
                <w:szCs w:val="20"/>
                <w:lang w:eastAsia="en-GB"/>
              </w:rPr>
            </w:pPr>
            <w:r w:rsidRPr="005674C8">
              <w:rPr>
                <w:rFonts w:eastAsia="Times New Roman" w:cs="Arial"/>
                <w:b/>
                <w:bCs/>
                <w:sz w:val="20"/>
                <w:szCs w:val="20"/>
                <w:lang w:eastAsia="en-GB"/>
              </w:rPr>
              <w:t>HEAD OF SERVICE</w:t>
            </w:r>
          </w:p>
        </w:tc>
        <w:tc>
          <w:tcPr>
            <w:tcW w:w="1457" w:type="dxa"/>
            <w:tcBorders>
              <w:top w:val="single" w:sz="4" w:space="0" w:color="auto"/>
              <w:left w:val="nil"/>
              <w:bottom w:val="nil"/>
              <w:right w:val="single" w:sz="4" w:space="0" w:color="auto"/>
            </w:tcBorders>
            <w:shd w:val="clear" w:color="000000" w:fill="D9D9D9"/>
            <w:vAlign w:val="bottom"/>
            <w:hideMark/>
          </w:tcPr>
          <w:p w14:paraId="44A816F4" w14:textId="77777777" w:rsidR="00431B9C" w:rsidRPr="005674C8" w:rsidRDefault="00431B9C" w:rsidP="0049320F">
            <w:pPr>
              <w:autoSpaceDE/>
              <w:autoSpaceDN/>
              <w:adjustRightInd/>
              <w:spacing w:after="0"/>
              <w:rPr>
                <w:rFonts w:eastAsia="Times New Roman" w:cs="Arial"/>
                <w:b/>
                <w:bCs/>
                <w:sz w:val="20"/>
                <w:szCs w:val="20"/>
                <w:lang w:eastAsia="en-GB"/>
              </w:rPr>
            </w:pPr>
            <w:r w:rsidRPr="005674C8">
              <w:rPr>
                <w:rFonts w:eastAsia="Times New Roman" w:cs="Arial"/>
                <w:b/>
                <w:bCs/>
                <w:sz w:val="20"/>
                <w:szCs w:val="20"/>
                <w:lang w:eastAsia="en-GB"/>
              </w:rPr>
              <w:t>Approved Budget</w:t>
            </w:r>
          </w:p>
        </w:tc>
        <w:tc>
          <w:tcPr>
            <w:tcW w:w="1457" w:type="dxa"/>
            <w:tcBorders>
              <w:top w:val="single" w:sz="4" w:space="0" w:color="auto"/>
              <w:left w:val="nil"/>
              <w:bottom w:val="nil"/>
              <w:right w:val="single" w:sz="4" w:space="0" w:color="auto"/>
            </w:tcBorders>
            <w:shd w:val="clear" w:color="000000" w:fill="D9D9D9"/>
            <w:vAlign w:val="bottom"/>
            <w:hideMark/>
          </w:tcPr>
          <w:p w14:paraId="7F856747" w14:textId="77777777" w:rsidR="00431B9C" w:rsidRPr="005674C8" w:rsidRDefault="00431B9C" w:rsidP="0049320F">
            <w:pPr>
              <w:autoSpaceDE/>
              <w:autoSpaceDN/>
              <w:adjustRightInd/>
              <w:spacing w:after="0"/>
              <w:rPr>
                <w:rFonts w:eastAsia="Times New Roman" w:cs="Arial"/>
                <w:b/>
                <w:bCs/>
                <w:sz w:val="20"/>
                <w:szCs w:val="20"/>
                <w:lang w:eastAsia="en-GB"/>
              </w:rPr>
            </w:pPr>
            <w:r w:rsidRPr="005674C8">
              <w:rPr>
                <w:rFonts w:eastAsia="Times New Roman" w:cs="Arial"/>
                <w:b/>
                <w:bCs/>
                <w:sz w:val="20"/>
                <w:szCs w:val="20"/>
                <w:lang w:eastAsia="en-GB"/>
              </w:rPr>
              <w:t>Current Period Forecast Outturn</w:t>
            </w:r>
          </w:p>
        </w:tc>
        <w:tc>
          <w:tcPr>
            <w:tcW w:w="1457" w:type="dxa"/>
            <w:tcBorders>
              <w:top w:val="single" w:sz="4" w:space="0" w:color="auto"/>
              <w:left w:val="nil"/>
              <w:bottom w:val="nil"/>
              <w:right w:val="single" w:sz="4" w:space="0" w:color="auto"/>
            </w:tcBorders>
            <w:shd w:val="clear" w:color="000000" w:fill="D9D9D9"/>
            <w:vAlign w:val="bottom"/>
            <w:hideMark/>
          </w:tcPr>
          <w:p w14:paraId="3BD80A6D" w14:textId="77777777" w:rsidR="00431B9C" w:rsidRPr="005674C8" w:rsidRDefault="00431B9C" w:rsidP="0049320F">
            <w:pPr>
              <w:autoSpaceDE/>
              <w:autoSpaceDN/>
              <w:adjustRightInd/>
              <w:spacing w:after="0"/>
              <w:rPr>
                <w:rFonts w:eastAsia="Times New Roman" w:cs="Arial"/>
                <w:b/>
                <w:bCs/>
                <w:sz w:val="20"/>
                <w:szCs w:val="20"/>
                <w:lang w:eastAsia="en-GB"/>
              </w:rPr>
            </w:pPr>
            <w:r w:rsidRPr="005674C8">
              <w:rPr>
                <w:rFonts w:eastAsia="Times New Roman" w:cs="Arial"/>
                <w:b/>
                <w:bCs/>
                <w:sz w:val="20"/>
                <w:szCs w:val="20"/>
                <w:lang w:eastAsia="en-GB"/>
              </w:rPr>
              <w:t>Current Period Forecast Variance</w:t>
            </w:r>
          </w:p>
        </w:tc>
      </w:tr>
      <w:tr w:rsidR="00431B9C" w:rsidRPr="005674C8" w14:paraId="59376552" w14:textId="77777777" w:rsidTr="00431B9C">
        <w:trPr>
          <w:trHeight w:val="301"/>
        </w:trPr>
        <w:tc>
          <w:tcPr>
            <w:tcW w:w="782" w:type="dxa"/>
            <w:tcBorders>
              <w:top w:val="nil"/>
              <w:left w:val="single" w:sz="4" w:space="0" w:color="auto"/>
              <w:bottom w:val="single" w:sz="4" w:space="0" w:color="auto"/>
              <w:right w:val="single" w:sz="4" w:space="0" w:color="auto"/>
            </w:tcBorders>
            <w:shd w:val="clear" w:color="000000" w:fill="D9D9D9"/>
            <w:vAlign w:val="bottom"/>
            <w:hideMark/>
          </w:tcPr>
          <w:p w14:paraId="3A0A1A80" w14:textId="77777777" w:rsidR="00431B9C" w:rsidRPr="005674C8" w:rsidRDefault="00431B9C" w:rsidP="0049320F">
            <w:pPr>
              <w:autoSpaceDE/>
              <w:autoSpaceDN/>
              <w:adjustRightInd/>
              <w:spacing w:after="0"/>
              <w:rPr>
                <w:rFonts w:eastAsia="Times New Roman" w:cs="Arial"/>
                <w:b/>
                <w:bCs/>
                <w:sz w:val="20"/>
                <w:szCs w:val="20"/>
                <w:lang w:eastAsia="en-GB"/>
              </w:rPr>
            </w:pPr>
            <w:r w:rsidRPr="005674C8">
              <w:rPr>
                <w:rFonts w:eastAsia="Times New Roman" w:cs="Arial"/>
                <w:b/>
                <w:bCs/>
                <w:sz w:val="20"/>
                <w:szCs w:val="20"/>
                <w:lang w:eastAsia="en-GB"/>
              </w:rPr>
              <w:t> </w:t>
            </w:r>
          </w:p>
        </w:tc>
        <w:tc>
          <w:tcPr>
            <w:tcW w:w="3980" w:type="dxa"/>
            <w:tcBorders>
              <w:top w:val="nil"/>
              <w:left w:val="nil"/>
              <w:bottom w:val="single" w:sz="4" w:space="0" w:color="auto"/>
              <w:right w:val="single" w:sz="4" w:space="0" w:color="auto"/>
            </w:tcBorders>
            <w:shd w:val="clear" w:color="000000" w:fill="D9D9D9"/>
            <w:vAlign w:val="bottom"/>
            <w:hideMark/>
          </w:tcPr>
          <w:p w14:paraId="30A775FF" w14:textId="77777777" w:rsidR="00431B9C" w:rsidRPr="005674C8" w:rsidRDefault="00431B9C" w:rsidP="0049320F">
            <w:pPr>
              <w:autoSpaceDE/>
              <w:autoSpaceDN/>
              <w:adjustRightInd/>
              <w:spacing w:after="0"/>
              <w:rPr>
                <w:rFonts w:eastAsia="Times New Roman" w:cs="Arial"/>
                <w:b/>
                <w:bCs/>
                <w:sz w:val="20"/>
                <w:szCs w:val="20"/>
                <w:lang w:eastAsia="en-GB"/>
              </w:rPr>
            </w:pPr>
            <w:r w:rsidRPr="005674C8">
              <w:rPr>
                <w:rFonts w:eastAsia="Times New Roman" w:cs="Arial"/>
                <w:b/>
                <w:bCs/>
                <w:sz w:val="20"/>
                <w:szCs w:val="20"/>
                <w:lang w:eastAsia="en-GB"/>
              </w:rPr>
              <w:t> </w:t>
            </w:r>
          </w:p>
        </w:tc>
        <w:tc>
          <w:tcPr>
            <w:tcW w:w="1457" w:type="dxa"/>
            <w:tcBorders>
              <w:top w:val="nil"/>
              <w:left w:val="nil"/>
              <w:bottom w:val="single" w:sz="4" w:space="0" w:color="auto"/>
              <w:right w:val="single" w:sz="4" w:space="0" w:color="auto"/>
            </w:tcBorders>
            <w:shd w:val="clear" w:color="000000" w:fill="D9D9D9"/>
            <w:vAlign w:val="bottom"/>
            <w:hideMark/>
          </w:tcPr>
          <w:p w14:paraId="236674C8" w14:textId="77777777" w:rsidR="00431B9C" w:rsidRPr="005674C8" w:rsidRDefault="00431B9C" w:rsidP="0049320F">
            <w:pPr>
              <w:autoSpaceDE/>
              <w:autoSpaceDN/>
              <w:adjustRightInd/>
              <w:spacing w:after="0"/>
              <w:rPr>
                <w:rFonts w:eastAsia="Times New Roman" w:cs="Arial"/>
                <w:b/>
                <w:bCs/>
                <w:sz w:val="20"/>
                <w:szCs w:val="20"/>
                <w:lang w:eastAsia="en-GB"/>
              </w:rPr>
            </w:pPr>
            <w:r w:rsidRPr="005674C8">
              <w:rPr>
                <w:rFonts w:eastAsia="Times New Roman" w:cs="Arial"/>
                <w:b/>
                <w:bCs/>
                <w:sz w:val="20"/>
                <w:szCs w:val="20"/>
                <w:lang w:eastAsia="en-GB"/>
              </w:rPr>
              <w:t>£m</w:t>
            </w:r>
          </w:p>
        </w:tc>
        <w:tc>
          <w:tcPr>
            <w:tcW w:w="1457" w:type="dxa"/>
            <w:tcBorders>
              <w:top w:val="nil"/>
              <w:left w:val="nil"/>
              <w:bottom w:val="single" w:sz="4" w:space="0" w:color="auto"/>
              <w:right w:val="single" w:sz="4" w:space="0" w:color="auto"/>
            </w:tcBorders>
            <w:shd w:val="clear" w:color="000000" w:fill="D9D9D9"/>
            <w:vAlign w:val="bottom"/>
            <w:hideMark/>
          </w:tcPr>
          <w:p w14:paraId="2C9AD887" w14:textId="77777777" w:rsidR="00431B9C" w:rsidRPr="005674C8" w:rsidRDefault="00431B9C" w:rsidP="0049320F">
            <w:pPr>
              <w:autoSpaceDE/>
              <w:autoSpaceDN/>
              <w:adjustRightInd/>
              <w:spacing w:after="0"/>
              <w:rPr>
                <w:rFonts w:eastAsia="Times New Roman" w:cs="Arial"/>
                <w:b/>
                <w:bCs/>
                <w:sz w:val="20"/>
                <w:szCs w:val="20"/>
                <w:lang w:eastAsia="en-GB"/>
              </w:rPr>
            </w:pPr>
            <w:r w:rsidRPr="005674C8">
              <w:rPr>
                <w:rFonts w:eastAsia="Times New Roman" w:cs="Arial"/>
                <w:b/>
                <w:bCs/>
                <w:sz w:val="20"/>
                <w:szCs w:val="20"/>
                <w:lang w:eastAsia="en-GB"/>
              </w:rPr>
              <w:t>£m</w:t>
            </w:r>
          </w:p>
        </w:tc>
        <w:tc>
          <w:tcPr>
            <w:tcW w:w="1457" w:type="dxa"/>
            <w:tcBorders>
              <w:top w:val="nil"/>
              <w:left w:val="nil"/>
              <w:bottom w:val="single" w:sz="4" w:space="0" w:color="auto"/>
              <w:right w:val="single" w:sz="4" w:space="0" w:color="auto"/>
            </w:tcBorders>
            <w:shd w:val="clear" w:color="000000" w:fill="D9D9D9"/>
            <w:vAlign w:val="bottom"/>
            <w:hideMark/>
          </w:tcPr>
          <w:p w14:paraId="4B716B8A" w14:textId="77777777" w:rsidR="00431B9C" w:rsidRPr="005674C8" w:rsidRDefault="00431B9C" w:rsidP="0049320F">
            <w:pPr>
              <w:autoSpaceDE/>
              <w:autoSpaceDN/>
              <w:adjustRightInd/>
              <w:spacing w:after="0"/>
              <w:rPr>
                <w:rFonts w:eastAsia="Times New Roman" w:cs="Arial"/>
                <w:b/>
                <w:bCs/>
                <w:sz w:val="20"/>
                <w:szCs w:val="20"/>
                <w:lang w:eastAsia="en-GB"/>
              </w:rPr>
            </w:pPr>
            <w:r w:rsidRPr="005674C8">
              <w:rPr>
                <w:rFonts w:eastAsia="Times New Roman" w:cs="Arial"/>
                <w:b/>
                <w:bCs/>
                <w:sz w:val="20"/>
                <w:szCs w:val="20"/>
                <w:lang w:eastAsia="en-GB"/>
              </w:rPr>
              <w:t>£m</w:t>
            </w:r>
          </w:p>
        </w:tc>
      </w:tr>
      <w:tr w:rsidR="00431B9C" w:rsidRPr="005674C8" w14:paraId="3F860BA1" w14:textId="77777777" w:rsidTr="00431B9C">
        <w:trPr>
          <w:trHeight w:val="301"/>
        </w:trPr>
        <w:tc>
          <w:tcPr>
            <w:tcW w:w="782" w:type="dxa"/>
            <w:tcBorders>
              <w:top w:val="nil"/>
              <w:left w:val="single" w:sz="4" w:space="0" w:color="auto"/>
              <w:bottom w:val="single" w:sz="4" w:space="0" w:color="auto"/>
              <w:right w:val="single" w:sz="4" w:space="0" w:color="auto"/>
            </w:tcBorders>
            <w:shd w:val="clear" w:color="000000" w:fill="FFFFFF"/>
            <w:noWrap/>
            <w:hideMark/>
          </w:tcPr>
          <w:p w14:paraId="3D36F2F9" w14:textId="2E1E2A90" w:rsidR="00431B9C" w:rsidRPr="005674C8" w:rsidRDefault="00DE4B16" w:rsidP="0049320F">
            <w:pPr>
              <w:autoSpaceDE/>
              <w:autoSpaceDN/>
              <w:adjustRightInd/>
              <w:spacing w:after="0"/>
              <w:rPr>
                <w:rFonts w:eastAsia="Times New Roman" w:cs="Arial"/>
                <w:b/>
                <w:bCs/>
                <w:sz w:val="20"/>
                <w:szCs w:val="20"/>
                <w:lang w:eastAsia="en-GB"/>
              </w:rPr>
            </w:pPr>
            <w:r>
              <w:rPr>
                <w:rFonts w:eastAsia="Times New Roman" w:cs="Arial"/>
                <w:b/>
                <w:bCs/>
                <w:sz w:val="20"/>
                <w:szCs w:val="20"/>
                <w:lang w:eastAsia="en-GB"/>
              </w:rPr>
              <w:t>3.1</w:t>
            </w:r>
            <w:r w:rsidR="00431B9C" w:rsidRPr="005674C8">
              <w:rPr>
                <w:rFonts w:eastAsia="Times New Roman" w:cs="Arial"/>
                <w:b/>
                <w:bCs/>
                <w:sz w:val="20"/>
                <w:szCs w:val="20"/>
                <w:lang w:eastAsia="en-GB"/>
              </w:rPr>
              <w:t>.1</w:t>
            </w:r>
          </w:p>
        </w:tc>
        <w:tc>
          <w:tcPr>
            <w:tcW w:w="3980" w:type="dxa"/>
            <w:tcBorders>
              <w:top w:val="nil"/>
              <w:left w:val="nil"/>
              <w:bottom w:val="single" w:sz="4" w:space="0" w:color="auto"/>
              <w:right w:val="single" w:sz="4" w:space="0" w:color="auto"/>
            </w:tcBorders>
            <w:shd w:val="clear" w:color="000000" w:fill="FFFFFF"/>
            <w:hideMark/>
          </w:tcPr>
          <w:p w14:paraId="001421CA" w14:textId="77777777" w:rsidR="00431B9C" w:rsidRPr="005674C8" w:rsidRDefault="00431B9C" w:rsidP="0049320F">
            <w:pPr>
              <w:autoSpaceDE/>
              <w:autoSpaceDN/>
              <w:adjustRightInd/>
              <w:spacing w:after="0"/>
              <w:rPr>
                <w:rFonts w:eastAsia="Times New Roman" w:cs="Arial"/>
                <w:sz w:val="20"/>
                <w:szCs w:val="20"/>
                <w:lang w:eastAsia="en-GB"/>
              </w:rPr>
            </w:pPr>
            <w:r w:rsidRPr="005674C8">
              <w:rPr>
                <w:rFonts w:eastAsia="Times New Roman" w:cs="Arial"/>
                <w:sz w:val="20"/>
                <w:szCs w:val="20"/>
                <w:lang w:eastAsia="en-GB"/>
              </w:rPr>
              <w:t>ADULT SERVICES</w:t>
            </w:r>
          </w:p>
        </w:tc>
        <w:tc>
          <w:tcPr>
            <w:tcW w:w="1457" w:type="dxa"/>
            <w:tcBorders>
              <w:top w:val="nil"/>
              <w:left w:val="nil"/>
              <w:bottom w:val="single" w:sz="4" w:space="0" w:color="auto"/>
              <w:right w:val="single" w:sz="4" w:space="0" w:color="auto"/>
            </w:tcBorders>
            <w:shd w:val="clear" w:color="000000" w:fill="FFFFFF"/>
            <w:hideMark/>
          </w:tcPr>
          <w:p w14:paraId="1F60E201" w14:textId="77777777" w:rsidR="00431B9C" w:rsidRPr="005674C8" w:rsidRDefault="00431B9C" w:rsidP="0049320F">
            <w:pPr>
              <w:autoSpaceDE/>
              <w:autoSpaceDN/>
              <w:adjustRightInd/>
              <w:spacing w:after="0"/>
              <w:rPr>
                <w:rFonts w:eastAsia="Times New Roman" w:cs="Arial"/>
                <w:sz w:val="20"/>
                <w:szCs w:val="20"/>
                <w:lang w:eastAsia="en-GB"/>
              </w:rPr>
            </w:pPr>
            <w:r>
              <w:rPr>
                <w:rFonts w:cs="Arial"/>
                <w:sz w:val="20"/>
                <w:szCs w:val="20"/>
              </w:rPr>
              <w:t xml:space="preserve">0.135 </w:t>
            </w:r>
          </w:p>
        </w:tc>
        <w:tc>
          <w:tcPr>
            <w:tcW w:w="1457" w:type="dxa"/>
            <w:tcBorders>
              <w:top w:val="nil"/>
              <w:left w:val="nil"/>
              <w:bottom w:val="single" w:sz="4" w:space="0" w:color="auto"/>
              <w:right w:val="single" w:sz="4" w:space="0" w:color="auto"/>
            </w:tcBorders>
            <w:shd w:val="clear" w:color="000000" w:fill="FFFFFF"/>
            <w:hideMark/>
          </w:tcPr>
          <w:p w14:paraId="62CB0CDD" w14:textId="77777777" w:rsidR="00431B9C" w:rsidRPr="005674C8" w:rsidRDefault="00431B9C" w:rsidP="0049320F">
            <w:pPr>
              <w:autoSpaceDE/>
              <w:autoSpaceDN/>
              <w:adjustRightInd/>
              <w:spacing w:after="0"/>
              <w:rPr>
                <w:rFonts w:eastAsia="Times New Roman" w:cs="Arial"/>
                <w:sz w:val="20"/>
                <w:szCs w:val="20"/>
                <w:lang w:eastAsia="en-GB"/>
              </w:rPr>
            </w:pPr>
            <w:r>
              <w:rPr>
                <w:rFonts w:cs="Arial"/>
                <w:sz w:val="20"/>
                <w:szCs w:val="20"/>
              </w:rPr>
              <w:t xml:space="preserve">0.150 </w:t>
            </w:r>
          </w:p>
        </w:tc>
        <w:tc>
          <w:tcPr>
            <w:tcW w:w="1457" w:type="dxa"/>
            <w:tcBorders>
              <w:top w:val="nil"/>
              <w:left w:val="nil"/>
              <w:bottom w:val="single" w:sz="4" w:space="0" w:color="auto"/>
              <w:right w:val="single" w:sz="4" w:space="0" w:color="auto"/>
            </w:tcBorders>
            <w:shd w:val="clear" w:color="000000" w:fill="FFFFFF"/>
            <w:hideMark/>
          </w:tcPr>
          <w:p w14:paraId="22B97339" w14:textId="77777777" w:rsidR="00431B9C" w:rsidRPr="005674C8" w:rsidRDefault="00431B9C" w:rsidP="0049320F">
            <w:pPr>
              <w:autoSpaceDE/>
              <w:autoSpaceDN/>
              <w:adjustRightInd/>
              <w:spacing w:after="0"/>
              <w:rPr>
                <w:rFonts w:eastAsia="Times New Roman" w:cs="Arial"/>
                <w:sz w:val="20"/>
                <w:szCs w:val="20"/>
                <w:lang w:eastAsia="en-GB"/>
              </w:rPr>
            </w:pPr>
            <w:r>
              <w:rPr>
                <w:rFonts w:cs="Arial"/>
                <w:sz w:val="20"/>
                <w:szCs w:val="20"/>
              </w:rPr>
              <w:t xml:space="preserve">0.015 </w:t>
            </w:r>
          </w:p>
        </w:tc>
      </w:tr>
      <w:tr w:rsidR="00431B9C" w:rsidRPr="005674C8" w14:paraId="1F101AE7" w14:textId="77777777" w:rsidTr="00431B9C">
        <w:trPr>
          <w:trHeight w:val="301"/>
        </w:trPr>
        <w:tc>
          <w:tcPr>
            <w:tcW w:w="782" w:type="dxa"/>
            <w:tcBorders>
              <w:top w:val="nil"/>
              <w:left w:val="single" w:sz="4" w:space="0" w:color="auto"/>
              <w:bottom w:val="single" w:sz="4" w:space="0" w:color="auto"/>
              <w:right w:val="single" w:sz="4" w:space="0" w:color="auto"/>
            </w:tcBorders>
            <w:shd w:val="clear" w:color="000000" w:fill="FFFFFF"/>
            <w:noWrap/>
            <w:hideMark/>
          </w:tcPr>
          <w:p w14:paraId="1478E2A1" w14:textId="605DBF16" w:rsidR="00431B9C" w:rsidRPr="005674C8" w:rsidRDefault="00DE4B16" w:rsidP="0049320F">
            <w:pPr>
              <w:autoSpaceDE/>
              <w:autoSpaceDN/>
              <w:adjustRightInd/>
              <w:spacing w:after="0"/>
              <w:rPr>
                <w:rFonts w:eastAsia="Times New Roman" w:cs="Arial"/>
                <w:b/>
                <w:bCs/>
                <w:sz w:val="20"/>
                <w:szCs w:val="20"/>
                <w:lang w:eastAsia="en-GB"/>
              </w:rPr>
            </w:pPr>
            <w:r>
              <w:rPr>
                <w:rFonts w:eastAsia="Times New Roman" w:cs="Arial"/>
                <w:b/>
                <w:bCs/>
                <w:sz w:val="20"/>
                <w:szCs w:val="20"/>
                <w:lang w:eastAsia="en-GB"/>
              </w:rPr>
              <w:t>3.1</w:t>
            </w:r>
            <w:r w:rsidR="00431B9C" w:rsidRPr="005674C8">
              <w:rPr>
                <w:rFonts w:eastAsia="Times New Roman" w:cs="Arial"/>
                <w:b/>
                <w:bCs/>
                <w:sz w:val="20"/>
                <w:szCs w:val="20"/>
                <w:lang w:eastAsia="en-GB"/>
              </w:rPr>
              <w:t>.2</w:t>
            </w:r>
          </w:p>
        </w:tc>
        <w:tc>
          <w:tcPr>
            <w:tcW w:w="3980" w:type="dxa"/>
            <w:tcBorders>
              <w:top w:val="nil"/>
              <w:left w:val="nil"/>
              <w:bottom w:val="single" w:sz="4" w:space="0" w:color="auto"/>
              <w:right w:val="single" w:sz="4" w:space="0" w:color="auto"/>
            </w:tcBorders>
            <w:shd w:val="clear" w:color="000000" w:fill="FFFFFF"/>
            <w:hideMark/>
          </w:tcPr>
          <w:p w14:paraId="7C9AE45F" w14:textId="77777777" w:rsidR="00431B9C" w:rsidRPr="005674C8" w:rsidRDefault="00431B9C" w:rsidP="0049320F">
            <w:pPr>
              <w:autoSpaceDE/>
              <w:autoSpaceDN/>
              <w:adjustRightInd/>
              <w:spacing w:after="0"/>
              <w:rPr>
                <w:rFonts w:eastAsia="Times New Roman" w:cs="Arial"/>
                <w:sz w:val="20"/>
                <w:szCs w:val="20"/>
                <w:lang w:eastAsia="en-GB"/>
              </w:rPr>
            </w:pPr>
            <w:r w:rsidRPr="005674C8">
              <w:rPr>
                <w:rFonts w:eastAsia="Times New Roman" w:cs="Arial"/>
                <w:sz w:val="20"/>
                <w:szCs w:val="20"/>
                <w:lang w:eastAsia="en-GB"/>
              </w:rPr>
              <w:t>DISABILITY (adults)</w:t>
            </w:r>
          </w:p>
        </w:tc>
        <w:tc>
          <w:tcPr>
            <w:tcW w:w="1457" w:type="dxa"/>
            <w:tcBorders>
              <w:top w:val="nil"/>
              <w:left w:val="nil"/>
              <w:bottom w:val="single" w:sz="4" w:space="0" w:color="auto"/>
              <w:right w:val="single" w:sz="4" w:space="0" w:color="auto"/>
            </w:tcBorders>
            <w:shd w:val="clear" w:color="000000" w:fill="FFFFFF"/>
            <w:hideMark/>
          </w:tcPr>
          <w:p w14:paraId="5D37FEF4" w14:textId="77777777" w:rsidR="00431B9C" w:rsidRPr="005674C8" w:rsidRDefault="00431B9C" w:rsidP="0049320F">
            <w:pPr>
              <w:autoSpaceDE/>
              <w:autoSpaceDN/>
              <w:adjustRightInd/>
              <w:spacing w:after="0"/>
              <w:rPr>
                <w:rFonts w:eastAsia="Times New Roman" w:cs="Arial"/>
                <w:sz w:val="20"/>
                <w:szCs w:val="20"/>
                <w:lang w:eastAsia="en-GB"/>
              </w:rPr>
            </w:pPr>
            <w:r>
              <w:rPr>
                <w:rFonts w:cs="Arial"/>
                <w:sz w:val="20"/>
                <w:szCs w:val="20"/>
              </w:rPr>
              <w:t xml:space="preserve">-4.501 </w:t>
            </w:r>
          </w:p>
        </w:tc>
        <w:tc>
          <w:tcPr>
            <w:tcW w:w="1457" w:type="dxa"/>
            <w:tcBorders>
              <w:top w:val="nil"/>
              <w:left w:val="nil"/>
              <w:bottom w:val="single" w:sz="4" w:space="0" w:color="auto"/>
              <w:right w:val="single" w:sz="4" w:space="0" w:color="auto"/>
            </w:tcBorders>
            <w:shd w:val="clear" w:color="000000" w:fill="FFFFFF"/>
            <w:hideMark/>
          </w:tcPr>
          <w:p w14:paraId="483CCCF4" w14:textId="77777777" w:rsidR="00431B9C" w:rsidRPr="005674C8" w:rsidRDefault="00431B9C" w:rsidP="0049320F">
            <w:pPr>
              <w:autoSpaceDE/>
              <w:autoSpaceDN/>
              <w:adjustRightInd/>
              <w:spacing w:after="0"/>
              <w:rPr>
                <w:rFonts w:eastAsia="Times New Roman" w:cs="Arial"/>
                <w:sz w:val="20"/>
                <w:szCs w:val="20"/>
                <w:lang w:eastAsia="en-GB"/>
              </w:rPr>
            </w:pPr>
            <w:r>
              <w:rPr>
                <w:rFonts w:cs="Arial"/>
                <w:sz w:val="20"/>
                <w:szCs w:val="20"/>
              </w:rPr>
              <w:t xml:space="preserve">-4.964 </w:t>
            </w:r>
          </w:p>
        </w:tc>
        <w:tc>
          <w:tcPr>
            <w:tcW w:w="1457" w:type="dxa"/>
            <w:tcBorders>
              <w:top w:val="nil"/>
              <w:left w:val="nil"/>
              <w:bottom w:val="single" w:sz="4" w:space="0" w:color="auto"/>
              <w:right w:val="single" w:sz="4" w:space="0" w:color="auto"/>
            </w:tcBorders>
            <w:shd w:val="clear" w:color="000000" w:fill="FFFFFF"/>
            <w:hideMark/>
          </w:tcPr>
          <w:p w14:paraId="5F8F7F36" w14:textId="22658289" w:rsidR="00431B9C" w:rsidRPr="005674C8" w:rsidRDefault="00191E89" w:rsidP="0049320F">
            <w:pPr>
              <w:autoSpaceDE/>
              <w:autoSpaceDN/>
              <w:adjustRightInd/>
              <w:spacing w:after="0"/>
              <w:rPr>
                <w:rFonts w:eastAsia="Times New Roman" w:cs="Arial"/>
                <w:sz w:val="20"/>
                <w:szCs w:val="20"/>
                <w:lang w:eastAsia="en-GB"/>
              </w:rPr>
            </w:pPr>
            <w:r>
              <w:rPr>
                <w:rFonts w:cs="Arial"/>
                <w:sz w:val="20"/>
                <w:szCs w:val="20"/>
              </w:rPr>
              <w:t>-0.463</w:t>
            </w:r>
            <w:r w:rsidR="00431B9C">
              <w:rPr>
                <w:rFonts w:cs="Arial"/>
                <w:sz w:val="20"/>
                <w:szCs w:val="20"/>
              </w:rPr>
              <w:t xml:space="preserve"> </w:t>
            </w:r>
          </w:p>
        </w:tc>
      </w:tr>
      <w:tr w:rsidR="00431B9C" w:rsidRPr="005674C8" w14:paraId="7AC884E6" w14:textId="77777777" w:rsidTr="00431B9C">
        <w:trPr>
          <w:trHeight w:val="301"/>
        </w:trPr>
        <w:tc>
          <w:tcPr>
            <w:tcW w:w="782" w:type="dxa"/>
            <w:tcBorders>
              <w:top w:val="nil"/>
              <w:left w:val="single" w:sz="4" w:space="0" w:color="auto"/>
              <w:bottom w:val="single" w:sz="4" w:space="0" w:color="auto"/>
              <w:right w:val="single" w:sz="4" w:space="0" w:color="auto"/>
            </w:tcBorders>
            <w:shd w:val="clear" w:color="000000" w:fill="FFFFFF"/>
            <w:noWrap/>
            <w:hideMark/>
          </w:tcPr>
          <w:p w14:paraId="47E4D30E" w14:textId="35B8E9F7" w:rsidR="00431B9C" w:rsidRPr="005674C8" w:rsidRDefault="00DE4B16" w:rsidP="0049320F">
            <w:pPr>
              <w:autoSpaceDE/>
              <w:autoSpaceDN/>
              <w:adjustRightInd/>
              <w:spacing w:after="0"/>
              <w:rPr>
                <w:rFonts w:eastAsia="Times New Roman" w:cs="Arial"/>
                <w:b/>
                <w:bCs/>
                <w:sz w:val="20"/>
                <w:szCs w:val="20"/>
                <w:lang w:eastAsia="en-GB"/>
              </w:rPr>
            </w:pPr>
            <w:r>
              <w:rPr>
                <w:rFonts w:eastAsia="Times New Roman" w:cs="Arial"/>
                <w:b/>
                <w:bCs/>
                <w:sz w:val="20"/>
                <w:szCs w:val="20"/>
                <w:lang w:eastAsia="en-GB"/>
              </w:rPr>
              <w:t>3.1</w:t>
            </w:r>
            <w:r w:rsidR="00431B9C" w:rsidRPr="005674C8">
              <w:rPr>
                <w:rFonts w:eastAsia="Times New Roman" w:cs="Arial"/>
                <w:b/>
                <w:bCs/>
                <w:sz w:val="20"/>
                <w:szCs w:val="20"/>
                <w:lang w:eastAsia="en-GB"/>
              </w:rPr>
              <w:t>.3</w:t>
            </w:r>
          </w:p>
        </w:tc>
        <w:tc>
          <w:tcPr>
            <w:tcW w:w="3980" w:type="dxa"/>
            <w:tcBorders>
              <w:top w:val="nil"/>
              <w:left w:val="nil"/>
              <w:bottom w:val="single" w:sz="4" w:space="0" w:color="auto"/>
              <w:right w:val="single" w:sz="4" w:space="0" w:color="auto"/>
            </w:tcBorders>
            <w:shd w:val="clear" w:color="000000" w:fill="FFFFFF"/>
            <w:hideMark/>
          </w:tcPr>
          <w:p w14:paraId="30819056" w14:textId="77777777" w:rsidR="00431B9C" w:rsidRPr="005674C8" w:rsidRDefault="00431B9C" w:rsidP="0049320F">
            <w:pPr>
              <w:autoSpaceDE/>
              <w:autoSpaceDN/>
              <w:adjustRightInd/>
              <w:spacing w:after="0"/>
              <w:rPr>
                <w:rFonts w:eastAsia="Times New Roman" w:cs="Arial"/>
                <w:sz w:val="20"/>
                <w:szCs w:val="20"/>
                <w:lang w:eastAsia="en-GB"/>
              </w:rPr>
            </w:pPr>
            <w:r w:rsidRPr="005674C8">
              <w:rPr>
                <w:rFonts w:eastAsia="Times New Roman" w:cs="Arial"/>
                <w:sz w:val="20"/>
                <w:szCs w:val="20"/>
                <w:lang w:eastAsia="en-GB"/>
              </w:rPr>
              <w:t>OLDER PEOPLE</w:t>
            </w:r>
          </w:p>
        </w:tc>
        <w:tc>
          <w:tcPr>
            <w:tcW w:w="1457" w:type="dxa"/>
            <w:tcBorders>
              <w:top w:val="nil"/>
              <w:left w:val="nil"/>
              <w:bottom w:val="single" w:sz="4" w:space="0" w:color="auto"/>
              <w:right w:val="single" w:sz="4" w:space="0" w:color="auto"/>
            </w:tcBorders>
            <w:shd w:val="clear" w:color="000000" w:fill="FFFFFF"/>
            <w:hideMark/>
          </w:tcPr>
          <w:p w14:paraId="758AFB52" w14:textId="77777777" w:rsidR="00431B9C" w:rsidRPr="005674C8" w:rsidRDefault="00431B9C" w:rsidP="0049320F">
            <w:pPr>
              <w:autoSpaceDE/>
              <w:autoSpaceDN/>
              <w:adjustRightInd/>
              <w:spacing w:after="0"/>
              <w:rPr>
                <w:rFonts w:eastAsia="Times New Roman" w:cs="Arial"/>
                <w:sz w:val="20"/>
                <w:szCs w:val="20"/>
                <w:lang w:eastAsia="en-GB"/>
              </w:rPr>
            </w:pPr>
            <w:r>
              <w:rPr>
                <w:rFonts w:cs="Arial"/>
                <w:sz w:val="20"/>
                <w:szCs w:val="20"/>
              </w:rPr>
              <w:t xml:space="preserve">0.619 </w:t>
            </w:r>
          </w:p>
        </w:tc>
        <w:tc>
          <w:tcPr>
            <w:tcW w:w="1457" w:type="dxa"/>
            <w:tcBorders>
              <w:top w:val="nil"/>
              <w:left w:val="nil"/>
              <w:bottom w:val="single" w:sz="4" w:space="0" w:color="auto"/>
              <w:right w:val="single" w:sz="4" w:space="0" w:color="auto"/>
            </w:tcBorders>
            <w:shd w:val="clear" w:color="000000" w:fill="FFFFFF"/>
            <w:hideMark/>
          </w:tcPr>
          <w:p w14:paraId="6FD86EF3" w14:textId="77777777" w:rsidR="00431B9C" w:rsidRPr="005674C8" w:rsidRDefault="00431B9C" w:rsidP="0049320F">
            <w:pPr>
              <w:autoSpaceDE/>
              <w:autoSpaceDN/>
              <w:adjustRightInd/>
              <w:spacing w:after="0"/>
              <w:rPr>
                <w:rFonts w:eastAsia="Times New Roman" w:cs="Arial"/>
                <w:sz w:val="20"/>
                <w:szCs w:val="20"/>
                <w:lang w:eastAsia="en-GB"/>
              </w:rPr>
            </w:pPr>
            <w:r>
              <w:rPr>
                <w:rFonts w:cs="Arial"/>
                <w:sz w:val="20"/>
                <w:szCs w:val="20"/>
              </w:rPr>
              <w:t xml:space="preserve">0.195 </w:t>
            </w:r>
          </w:p>
        </w:tc>
        <w:tc>
          <w:tcPr>
            <w:tcW w:w="1457" w:type="dxa"/>
            <w:tcBorders>
              <w:top w:val="nil"/>
              <w:left w:val="nil"/>
              <w:bottom w:val="single" w:sz="4" w:space="0" w:color="auto"/>
              <w:right w:val="single" w:sz="4" w:space="0" w:color="auto"/>
            </w:tcBorders>
            <w:shd w:val="clear" w:color="000000" w:fill="FFFFFF"/>
            <w:hideMark/>
          </w:tcPr>
          <w:p w14:paraId="5D254B59" w14:textId="77777777" w:rsidR="00431B9C" w:rsidRPr="005674C8" w:rsidRDefault="00431B9C" w:rsidP="0049320F">
            <w:pPr>
              <w:autoSpaceDE/>
              <w:autoSpaceDN/>
              <w:adjustRightInd/>
              <w:spacing w:after="0"/>
              <w:rPr>
                <w:rFonts w:eastAsia="Times New Roman" w:cs="Arial"/>
                <w:sz w:val="20"/>
                <w:szCs w:val="20"/>
                <w:lang w:eastAsia="en-GB"/>
              </w:rPr>
            </w:pPr>
            <w:r>
              <w:rPr>
                <w:rFonts w:cs="Arial"/>
                <w:sz w:val="20"/>
                <w:szCs w:val="20"/>
              </w:rPr>
              <w:t xml:space="preserve">-0.424 </w:t>
            </w:r>
          </w:p>
        </w:tc>
      </w:tr>
      <w:tr w:rsidR="00431B9C" w:rsidRPr="005674C8" w14:paraId="34AA0A6E" w14:textId="77777777" w:rsidTr="00431B9C">
        <w:trPr>
          <w:trHeight w:val="301"/>
        </w:trPr>
        <w:tc>
          <w:tcPr>
            <w:tcW w:w="782" w:type="dxa"/>
            <w:tcBorders>
              <w:top w:val="nil"/>
              <w:left w:val="single" w:sz="4" w:space="0" w:color="auto"/>
              <w:bottom w:val="single" w:sz="4" w:space="0" w:color="auto"/>
              <w:right w:val="single" w:sz="4" w:space="0" w:color="auto"/>
            </w:tcBorders>
            <w:shd w:val="clear" w:color="000000" w:fill="FFFFFF"/>
            <w:noWrap/>
            <w:hideMark/>
          </w:tcPr>
          <w:p w14:paraId="799F5726" w14:textId="6CA9680E" w:rsidR="00431B9C" w:rsidRPr="00191E89" w:rsidRDefault="00DE4B16" w:rsidP="0049320F">
            <w:pPr>
              <w:autoSpaceDE/>
              <w:autoSpaceDN/>
              <w:adjustRightInd/>
              <w:spacing w:after="0"/>
              <w:rPr>
                <w:rFonts w:eastAsia="Times New Roman" w:cs="Arial"/>
                <w:b/>
                <w:bCs/>
                <w:sz w:val="20"/>
                <w:szCs w:val="20"/>
                <w:lang w:eastAsia="en-GB"/>
              </w:rPr>
            </w:pPr>
            <w:r w:rsidRPr="00191E89">
              <w:rPr>
                <w:rFonts w:eastAsia="Times New Roman" w:cs="Arial"/>
                <w:b/>
                <w:bCs/>
                <w:sz w:val="20"/>
                <w:szCs w:val="20"/>
                <w:lang w:eastAsia="en-GB"/>
              </w:rPr>
              <w:t>3.1</w:t>
            </w:r>
            <w:r w:rsidR="00431B9C" w:rsidRPr="00191E89">
              <w:rPr>
                <w:rFonts w:eastAsia="Times New Roman" w:cs="Arial"/>
                <w:b/>
                <w:bCs/>
                <w:sz w:val="20"/>
                <w:szCs w:val="20"/>
                <w:lang w:eastAsia="en-GB"/>
              </w:rPr>
              <w:t>.4</w:t>
            </w:r>
          </w:p>
        </w:tc>
        <w:tc>
          <w:tcPr>
            <w:tcW w:w="3980" w:type="dxa"/>
            <w:tcBorders>
              <w:top w:val="nil"/>
              <w:left w:val="nil"/>
              <w:bottom w:val="single" w:sz="4" w:space="0" w:color="auto"/>
              <w:right w:val="single" w:sz="4" w:space="0" w:color="auto"/>
            </w:tcBorders>
            <w:shd w:val="clear" w:color="000000" w:fill="FFFFFF"/>
            <w:hideMark/>
          </w:tcPr>
          <w:p w14:paraId="70DF46B6" w14:textId="77777777" w:rsidR="00431B9C" w:rsidRPr="00191E89" w:rsidRDefault="00431B9C" w:rsidP="0049320F">
            <w:pPr>
              <w:autoSpaceDE/>
              <w:autoSpaceDN/>
              <w:adjustRightInd/>
              <w:spacing w:after="0"/>
              <w:rPr>
                <w:rFonts w:eastAsia="Times New Roman" w:cs="Arial"/>
                <w:sz w:val="20"/>
                <w:szCs w:val="20"/>
                <w:lang w:eastAsia="en-GB"/>
              </w:rPr>
            </w:pPr>
            <w:r w:rsidRPr="00191E89">
              <w:rPr>
                <w:rFonts w:eastAsia="Times New Roman" w:cs="Arial"/>
                <w:sz w:val="20"/>
                <w:szCs w:val="20"/>
                <w:lang w:eastAsia="en-GB"/>
              </w:rPr>
              <w:t>SAFEGUARDING (adults)</w:t>
            </w:r>
          </w:p>
        </w:tc>
        <w:tc>
          <w:tcPr>
            <w:tcW w:w="1457" w:type="dxa"/>
            <w:tcBorders>
              <w:top w:val="nil"/>
              <w:left w:val="nil"/>
              <w:bottom w:val="single" w:sz="4" w:space="0" w:color="auto"/>
              <w:right w:val="single" w:sz="4" w:space="0" w:color="auto"/>
            </w:tcBorders>
            <w:shd w:val="clear" w:color="000000" w:fill="FFFFFF"/>
            <w:hideMark/>
          </w:tcPr>
          <w:p w14:paraId="40A8A256" w14:textId="39AC046A" w:rsidR="00431B9C" w:rsidRPr="00191E89" w:rsidRDefault="00431B9C" w:rsidP="0049320F">
            <w:pPr>
              <w:autoSpaceDE/>
              <w:autoSpaceDN/>
              <w:adjustRightInd/>
              <w:spacing w:after="0"/>
              <w:rPr>
                <w:rFonts w:eastAsia="Times New Roman" w:cs="Arial"/>
                <w:sz w:val="20"/>
                <w:szCs w:val="20"/>
                <w:lang w:eastAsia="en-GB"/>
              </w:rPr>
            </w:pPr>
            <w:r w:rsidRPr="00191E89">
              <w:rPr>
                <w:rFonts w:cs="Arial"/>
                <w:sz w:val="20"/>
                <w:szCs w:val="20"/>
              </w:rPr>
              <w:t>30.</w:t>
            </w:r>
            <w:r w:rsidR="00E25726">
              <w:rPr>
                <w:rFonts w:cs="Arial"/>
                <w:sz w:val="20"/>
                <w:szCs w:val="20"/>
              </w:rPr>
              <w:t>577</w:t>
            </w:r>
            <w:r w:rsidRPr="00191E89">
              <w:rPr>
                <w:rFonts w:cs="Arial"/>
                <w:sz w:val="20"/>
                <w:szCs w:val="20"/>
              </w:rPr>
              <w:t xml:space="preserve"> </w:t>
            </w:r>
          </w:p>
        </w:tc>
        <w:tc>
          <w:tcPr>
            <w:tcW w:w="1457" w:type="dxa"/>
            <w:tcBorders>
              <w:top w:val="nil"/>
              <w:left w:val="nil"/>
              <w:bottom w:val="single" w:sz="4" w:space="0" w:color="auto"/>
              <w:right w:val="single" w:sz="4" w:space="0" w:color="auto"/>
            </w:tcBorders>
            <w:shd w:val="clear" w:color="000000" w:fill="FFFFFF"/>
            <w:hideMark/>
          </w:tcPr>
          <w:p w14:paraId="20689E94" w14:textId="24009090" w:rsidR="00431B9C" w:rsidRPr="00191E89" w:rsidRDefault="00191E89" w:rsidP="0049320F">
            <w:pPr>
              <w:autoSpaceDE/>
              <w:autoSpaceDN/>
              <w:adjustRightInd/>
              <w:spacing w:after="0"/>
              <w:rPr>
                <w:rFonts w:eastAsia="Times New Roman" w:cs="Arial"/>
                <w:sz w:val="20"/>
                <w:szCs w:val="20"/>
                <w:lang w:eastAsia="en-GB"/>
              </w:rPr>
            </w:pPr>
            <w:r w:rsidRPr="00191E89">
              <w:rPr>
                <w:rFonts w:cs="Arial"/>
                <w:sz w:val="20"/>
                <w:szCs w:val="20"/>
              </w:rPr>
              <w:t>30.</w:t>
            </w:r>
            <w:r w:rsidR="00E25726">
              <w:rPr>
                <w:rFonts w:cs="Arial"/>
                <w:sz w:val="20"/>
                <w:szCs w:val="20"/>
              </w:rPr>
              <w:t>880</w:t>
            </w:r>
            <w:r w:rsidR="00431B9C" w:rsidRPr="00191E89">
              <w:rPr>
                <w:rFonts w:cs="Arial"/>
                <w:sz w:val="20"/>
                <w:szCs w:val="20"/>
              </w:rPr>
              <w:t xml:space="preserve"> </w:t>
            </w:r>
          </w:p>
        </w:tc>
        <w:tc>
          <w:tcPr>
            <w:tcW w:w="1457" w:type="dxa"/>
            <w:tcBorders>
              <w:top w:val="nil"/>
              <w:left w:val="nil"/>
              <w:bottom w:val="single" w:sz="4" w:space="0" w:color="auto"/>
              <w:right w:val="single" w:sz="4" w:space="0" w:color="auto"/>
            </w:tcBorders>
            <w:shd w:val="clear" w:color="000000" w:fill="FFFFFF"/>
            <w:hideMark/>
          </w:tcPr>
          <w:p w14:paraId="6898455E" w14:textId="5055E254" w:rsidR="00A14A39" w:rsidRPr="00A14A39" w:rsidRDefault="00337D20" w:rsidP="0049320F">
            <w:pPr>
              <w:autoSpaceDE/>
              <w:autoSpaceDN/>
              <w:adjustRightInd/>
              <w:spacing w:after="0"/>
              <w:rPr>
                <w:rFonts w:cs="Arial"/>
                <w:sz w:val="20"/>
                <w:szCs w:val="20"/>
              </w:rPr>
            </w:pPr>
            <w:r w:rsidRPr="00191E89">
              <w:rPr>
                <w:rFonts w:cs="Arial"/>
                <w:sz w:val="20"/>
                <w:szCs w:val="20"/>
              </w:rPr>
              <w:t>0</w:t>
            </w:r>
            <w:r w:rsidR="00191E89">
              <w:rPr>
                <w:rFonts w:cs="Arial"/>
                <w:sz w:val="20"/>
                <w:szCs w:val="20"/>
              </w:rPr>
              <w:t>.303</w:t>
            </w:r>
          </w:p>
        </w:tc>
      </w:tr>
      <w:tr w:rsidR="00431B9C" w:rsidRPr="005674C8" w14:paraId="2834545C" w14:textId="77777777" w:rsidTr="00431B9C">
        <w:trPr>
          <w:trHeight w:val="301"/>
        </w:trPr>
        <w:tc>
          <w:tcPr>
            <w:tcW w:w="782" w:type="dxa"/>
            <w:tcBorders>
              <w:top w:val="nil"/>
              <w:left w:val="single" w:sz="4" w:space="0" w:color="auto"/>
              <w:bottom w:val="single" w:sz="4" w:space="0" w:color="auto"/>
              <w:right w:val="single" w:sz="4" w:space="0" w:color="auto"/>
            </w:tcBorders>
            <w:shd w:val="clear" w:color="000000" w:fill="FFFFFF"/>
            <w:noWrap/>
            <w:hideMark/>
          </w:tcPr>
          <w:p w14:paraId="7A5EEB49" w14:textId="727FE185" w:rsidR="00431B9C" w:rsidRPr="005674C8" w:rsidRDefault="00DE4B16" w:rsidP="0049320F">
            <w:pPr>
              <w:autoSpaceDE/>
              <w:autoSpaceDN/>
              <w:adjustRightInd/>
              <w:spacing w:after="0"/>
              <w:rPr>
                <w:rFonts w:eastAsia="Times New Roman" w:cs="Arial"/>
                <w:b/>
                <w:bCs/>
                <w:sz w:val="20"/>
                <w:szCs w:val="20"/>
                <w:lang w:eastAsia="en-GB"/>
              </w:rPr>
            </w:pPr>
            <w:r>
              <w:rPr>
                <w:rFonts w:eastAsia="Times New Roman" w:cs="Arial"/>
                <w:b/>
                <w:bCs/>
                <w:sz w:val="20"/>
                <w:szCs w:val="20"/>
                <w:lang w:eastAsia="en-GB"/>
              </w:rPr>
              <w:t>3.1</w:t>
            </w:r>
            <w:r w:rsidR="00431B9C" w:rsidRPr="005674C8">
              <w:rPr>
                <w:rFonts w:eastAsia="Times New Roman" w:cs="Arial"/>
                <w:b/>
                <w:bCs/>
                <w:sz w:val="20"/>
                <w:szCs w:val="20"/>
                <w:lang w:eastAsia="en-GB"/>
              </w:rPr>
              <w:t>.5</w:t>
            </w:r>
          </w:p>
        </w:tc>
        <w:tc>
          <w:tcPr>
            <w:tcW w:w="3980" w:type="dxa"/>
            <w:tcBorders>
              <w:top w:val="nil"/>
              <w:left w:val="nil"/>
              <w:bottom w:val="single" w:sz="4" w:space="0" w:color="auto"/>
              <w:right w:val="single" w:sz="4" w:space="0" w:color="auto"/>
            </w:tcBorders>
            <w:shd w:val="clear" w:color="000000" w:fill="FFFFFF"/>
            <w:hideMark/>
          </w:tcPr>
          <w:p w14:paraId="26753ABE" w14:textId="77777777" w:rsidR="00431B9C" w:rsidRPr="005674C8" w:rsidRDefault="00431B9C" w:rsidP="0049320F">
            <w:pPr>
              <w:autoSpaceDE/>
              <w:autoSpaceDN/>
              <w:adjustRightInd/>
              <w:spacing w:after="0"/>
              <w:rPr>
                <w:rFonts w:eastAsia="Times New Roman" w:cs="Arial"/>
                <w:sz w:val="20"/>
                <w:szCs w:val="20"/>
                <w:lang w:eastAsia="en-GB"/>
              </w:rPr>
            </w:pPr>
            <w:r w:rsidRPr="005674C8">
              <w:rPr>
                <w:rFonts w:eastAsia="Times New Roman" w:cs="Arial"/>
                <w:sz w:val="20"/>
                <w:szCs w:val="20"/>
                <w:lang w:eastAsia="en-GB"/>
              </w:rPr>
              <w:t>SOCIAL CARE SERVICES (adults)</w:t>
            </w:r>
          </w:p>
        </w:tc>
        <w:tc>
          <w:tcPr>
            <w:tcW w:w="1457" w:type="dxa"/>
            <w:tcBorders>
              <w:top w:val="nil"/>
              <w:left w:val="nil"/>
              <w:bottom w:val="single" w:sz="4" w:space="0" w:color="auto"/>
              <w:right w:val="single" w:sz="4" w:space="0" w:color="auto"/>
            </w:tcBorders>
            <w:shd w:val="clear" w:color="000000" w:fill="FFFFFF"/>
            <w:hideMark/>
          </w:tcPr>
          <w:p w14:paraId="7A5B6229" w14:textId="77777777" w:rsidR="00431B9C" w:rsidRPr="005674C8" w:rsidRDefault="00431B9C" w:rsidP="0049320F">
            <w:pPr>
              <w:autoSpaceDE/>
              <w:autoSpaceDN/>
              <w:adjustRightInd/>
              <w:spacing w:after="0"/>
              <w:rPr>
                <w:rFonts w:eastAsia="Times New Roman" w:cs="Arial"/>
                <w:sz w:val="20"/>
                <w:szCs w:val="20"/>
                <w:lang w:eastAsia="en-GB"/>
              </w:rPr>
            </w:pPr>
            <w:r>
              <w:rPr>
                <w:rFonts w:cs="Arial"/>
                <w:sz w:val="20"/>
                <w:szCs w:val="20"/>
              </w:rPr>
              <w:t xml:space="preserve">290.580 </w:t>
            </w:r>
          </w:p>
        </w:tc>
        <w:tc>
          <w:tcPr>
            <w:tcW w:w="1457" w:type="dxa"/>
            <w:tcBorders>
              <w:top w:val="nil"/>
              <w:left w:val="nil"/>
              <w:bottom w:val="single" w:sz="4" w:space="0" w:color="auto"/>
              <w:right w:val="single" w:sz="4" w:space="0" w:color="auto"/>
            </w:tcBorders>
            <w:shd w:val="clear" w:color="000000" w:fill="FFFFFF"/>
            <w:hideMark/>
          </w:tcPr>
          <w:p w14:paraId="1ED1C89D" w14:textId="0B4164AC" w:rsidR="00431B9C" w:rsidRPr="005674C8" w:rsidRDefault="00A65988" w:rsidP="0049320F">
            <w:pPr>
              <w:autoSpaceDE/>
              <w:autoSpaceDN/>
              <w:adjustRightInd/>
              <w:spacing w:after="0"/>
              <w:rPr>
                <w:rFonts w:eastAsia="Times New Roman" w:cs="Arial"/>
                <w:sz w:val="20"/>
                <w:szCs w:val="20"/>
                <w:lang w:eastAsia="en-GB"/>
              </w:rPr>
            </w:pPr>
            <w:r>
              <w:rPr>
                <w:rFonts w:cs="Arial"/>
                <w:sz w:val="20"/>
                <w:szCs w:val="20"/>
              </w:rPr>
              <w:t>296.229</w:t>
            </w:r>
          </w:p>
        </w:tc>
        <w:tc>
          <w:tcPr>
            <w:tcW w:w="1457" w:type="dxa"/>
            <w:tcBorders>
              <w:top w:val="nil"/>
              <w:left w:val="nil"/>
              <w:bottom w:val="single" w:sz="4" w:space="0" w:color="auto"/>
              <w:right w:val="single" w:sz="4" w:space="0" w:color="auto"/>
            </w:tcBorders>
            <w:shd w:val="clear" w:color="000000" w:fill="FFFFFF"/>
            <w:hideMark/>
          </w:tcPr>
          <w:p w14:paraId="710A037A" w14:textId="7A2F6158" w:rsidR="00431B9C" w:rsidRPr="005674C8" w:rsidRDefault="00337D20" w:rsidP="0049320F">
            <w:pPr>
              <w:autoSpaceDE/>
              <w:autoSpaceDN/>
              <w:adjustRightInd/>
              <w:spacing w:after="0"/>
              <w:rPr>
                <w:rFonts w:eastAsia="Times New Roman" w:cs="Arial"/>
                <w:sz w:val="20"/>
                <w:szCs w:val="20"/>
                <w:lang w:eastAsia="en-GB"/>
              </w:rPr>
            </w:pPr>
            <w:r>
              <w:rPr>
                <w:rFonts w:eastAsia="Times New Roman" w:cs="Arial"/>
                <w:sz w:val="20"/>
                <w:szCs w:val="20"/>
                <w:lang w:eastAsia="en-GB"/>
              </w:rPr>
              <w:t>5.649</w:t>
            </w:r>
          </w:p>
        </w:tc>
      </w:tr>
      <w:tr w:rsidR="00431B9C" w:rsidRPr="005674C8" w14:paraId="03824B5B" w14:textId="77777777" w:rsidTr="00431B9C">
        <w:trPr>
          <w:trHeight w:val="301"/>
        </w:trPr>
        <w:tc>
          <w:tcPr>
            <w:tcW w:w="782" w:type="dxa"/>
            <w:tcBorders>
              <w:top w:val="nil"/>
              <w:left w:val="single" w:sz="4" w:space="0" w:color="auto"/>
              <w:bottom w:val="single" w:sz="4" w:space="0" w:color="auto"/>
              <w:right w:val="single" w:sz="4" w:space="0" w:color="auto"/>
            </w:tcBorders>
            <w:shd w:val="clear" w:color="000000" w:fill="D9D9D9"/>
            <w:vAlign w:val="center"/>
            <w:hideMark/>
          </w:tcPr>
          <w:p w14:paraId="7A951CC5" w14:textId="77777777" w:rsidR="00431B9C" w:rsidRPr="005674C8" w:rsidRDefault="00431B9C" w:rsidP="0049320F">
            <w:pPr>
              <w:autoSpaceDE/>
              <w:autoSpaceDN/>
              <w:adjustRightInd/>
              <w:spacing w:after="0"/>
              <w:rPr>
                <w:rFonts w:eastAsia="Times New Roman" w:cs="Arial"/>
                <w:b/>
                <w:bCs/>
                <w:sz w:val="20"/>
                <w:szCs w:val="20"/>
                <w:lang w:eastAsia="en-GB"/>
              </w:rPr>
            </w:pPr>
            <w:r w:rsidRPr="005674C8">
              <w:rPr>
                <w:rFonts w:eastAsia="Times New Roman" w:cs="Arial"/>
                <w:b/>
                <w:bCs/>
                <w:sz w:val="20"/>
                <w:szCs w:val="20"/>
                <w:lang w:eastAsia="en-GB"/>
              </w:rPr>
              <w:t> </w:t>
            </w:r>
          </w:p>
        </w:tc>
        <w:tc>
          <w:tcPr>
            <w:tcW w:w="3980" w:type="dxa"/>
            <w:tcBorders>
              <w:top w:val="nil"/>
              <w:left w:val="nil"/>
              <w:bottom w:val="single" w:sz="4" w:space="0" w:color="auto"/>
              <w:right w:val="single" w:sz="4" w:space="0" w:color="auto"/>
            </w:tcBorders>
            <w:shd w:val="clear" w:color="000000" w:fill="D9D9D9"/>
            <w:vAlign w:val="center"/>
            <w:hideMark/>
          </w:tcPr>
          <w:p w14:paraId="457D991E" w14:textId="77777777" w:rsidR="00431B9C" w:rsidRPr="005674C8" w:rsidRDefault="00431B9C" w:rsidP="0049320F">
            <w:pPr>
              <w:autoSpaceDE/>
              <w:autoSpaceDN/>
              <w:adjustRightInd/>
              <w:spacing w:after="0"/>
              <w:rPr>
                <w:rFonts w:eastAsia="Times New Roman" w:cs="Arial"/>
                <w:b/>
                <w:bCs/>
                <w:sz w:val="20"/>
                <w:szCs w:val="20"/>
                <w:lang w:eastAsia="en-GB"/>
              </w:rPr>
            </w:pPr>
            <w:r w:rsidRPr="005674C8">
              <w:rPr>
                <w:rFonts w:eastAsia="Times New Roman" w:cs="Arial"/>
                <w:b/>
                <w:bCs/>
                <w:sz w:val="20"/>
                <w:szCs w:val="20"/>
                <w:lang w:eastAsia="en-GB"/>
              </w:rPr>
              <w:t>TOTAL - ADULT SERVICES</w:t>
            </w:r>
          </w:p>
        </w:tc>
        <w:tc>
          <w:tcPr>
            <w:tcW w:w="1457" w:type="dxa"/>
            <w:tcBorders>
              <w:top w:val="nil"/>
              <w:left w:val="nil"/>
              <w:bottom w:val="single" w:sz="4" w:space="0" w:color="auto"/>
              <w:right w:val="single" w:sz="4" w:space="0" w:color="auto"/>
            </w:tcBorders>
            <w:shd w:val="clear" w:color="000000" w:fill="D9D9D9"/>
            <w:vAlign w:val="center"/>
            <w:hideMark/>
          </w:tcPr>
          <w:p w14:paraId="7E67EEEF" w14:textId="5A758912" w:rsidR="00431B9C" w:rsidRPr="005674C8" w:rsidRDefault="00431B9C" w:rsidP="0049320F">
            <w:pPr>
              <w:autoSpaceDE/>
              <w:autoSpaceDN/>
              <w:adjustRightInd/>
              <w:spacing w:after="0"/>
              <w:rPr>
                <w:rFonts w:eastAsia="Times New Roman" w:cs="Arial"/>
                <w:b/>
                <w:bCs/>
                <w:sz w:val="20"/>
                <w:szCs w:val="20"/>
                <w:lang w:eastAsia="en-GB"/>
              </w:rPr>
            </w:pPr>
            <w:r>
              <w:rPr>
                <w:rFonts w:cs="Arial"/>
                <w:b/>
                <w:bCs/>
                <w:sz w:val="20"/>
                <w:szCs w:val="20"/>
              </w:rPr>
              <w:t>317.</w:t>
            </w:r>
            <w:r w:rsidR="00E25726">
              <w:rPr>
                <w:rFonts w:cs="Arial"/>
                <w:b/>
                <w:bCs/>
                <w:sz w:val="20"/>
                <w:szCs w:val="20"/>
              </w:rPr>
              <w:t>410</w:t>
            </w:r>
            <w:r>
              <w:rPr>
                <w:rFonts w:cs="Arial"/>
                <w:b/>
                <w:bCs/>
                <w:sz w:val="20"/>
                <w:szCs w:val="20"/>
              </w:rPr>
              <w:t xml:space="preserve"> </w:t>
            </w:r>
          </w:p>
        </w:tc>
        <w:tc>
          <w:tcPr>
            <w:tcW w:w="1457" w:type="dxa"/>
            <w:tcBorders>
              <w:top w:val="nil"/>
              <w:left w:val="nil"/>
              <w:bottom w:val="single" w:sz="4" w:space="0" w:color="auto"/>
              <w:right w:val="single" w:sz="4" w:space="0" w:color="auto"/>
            </w:tcBorders>
            <w:shd w:val="clear" w:color="000000" w:fill="D9D9D9"/>
            <w:vAlign w:val="center"/>
            <w:hideMark/>
          </w:tcPr>
          <w:p w14:paraId="74463B43" w14:textId="4A644E5E" w:rsidR="00431B9C" w:rsidRPr="005674C8" w:rsidRDefault="00431B9C" w:rsidP="0049320F">
            <w:pPr>
              <w:autoSpaceDE/>
              <w:autoSpaceDN/>
              <w:adjustRightInd/>
              <w:spacing w:after="0"/>
              <w:rPr>
                <w:rFonts w:eastAsia="Times New Roman" w:cs="Arial"/>
                <w:b/>
                <w:bCs/>
                <w:sz w:val="20"/>
                <w:szCs w:val="20"/>
                <w:lang w:eastAsia="en-GB"/>
              </w:rPr>
            </w:pPr>
            <w:r>
              <w:rPr>
                <w:rFonts w:cs="Arial"/>
                <w:b/>
                <w:bCs/>
                <w:sz w:val="20"/>
                <w:szCs w:val="20"/>
              </w:rPr>
              <w:t>3</w:t>
            </w:r>
            <w:r w:rsidR="0064062F">
              <w:rPr>
                <w:rFonts w:cs="Arial"/>
                <w:b/>
                <w:bCs/>
                <w:sz w:val="20"/>
                <w:szCs w:val="20"/>
              </w:rPr>
              <w:t>2</w:t>
            </w:r>
            <w:r w:rsidR="00D965C7">
              <w:rPr>
                <w:rFonts w:cs="Arial"/>
                <w:b/>
                <w:bCs/>
                <w:sz w:val="20"/>
                <w:szCs w:val="20"/>
              </w:rPr>
              <w:t>2.</w:t>
            </w:r>
            <w:r w:rsidR="00E25726">
              <w:rPr>
                <w:rFonts w:cs="Arial"/>
                <w:b/>
                <w:bCs/>
                <w:sz w:val="20"/>
                <w:szCs w:val="20"/>
              </w:rPr>
              <w:t>490</w:t>
            </w:r>
            <w:r>
              <w:rPr>
                <w:rFonts w:cs="Arial"/>
                <w:b/>
                <w:bCs/>
                <w:sz w:val="20"/>
                <w:szCs w:val="20"/>
              </w:rPr>
              <w:t xml:space="preserve"> </w:t>
            </w:r>
          </w:p>
        </w:tc>
        <w:tc>
          <w:tcPr>
            <w:tcW w:w="1457" w:type="dxa"/>
            <w:tcBorders>
              <w:top w:val="nil"/>
              <w:left w:val="nil"/>
              <w:bottom w:val="single" w:sz="4" w:space="0" w:color="auto"/>
              <w:right w:val="single" w:sz="4" w:space="0" w:color="auto"/>
            </w:tcBorders>
            <w:shd w:val="clear" w:color="000000" w:fill="D9D9D9"/>
            <w:vAlign w:val="center"/>
            <w:hideMark/>
          </w:tcPr>
          <w:p w14:paraId="455C5DAB" w14:textId="544BEAB4" w:rsidR="00431B9C" w:rsidRPr="005674C8" w:rsidRDefault="00337D20" w:rsidP="0049320F">
            <w:pPr>
              <w:autoSpaceDE/>
              <w:autoSpaceDN/>
              <w:adjustRightInd/>
              <w:spacing w:after="0"/>
              <w:rPr>
                <w:rFonts w:eastAsia="Times New Roman" w:cs="Arial"/>
                <w:b/>
                <w:bCs/>
                <w:sz w:val="20"/>
                <w:szCs w:val="20"/>
                <w:lang w:eastAsia="en-GB"/>
              </w:rPr>
            </w:pPr>
            <w:r w:rsidRPr="00A65988">
              <w:rPr>
                <w:rFonts w:cs="Arial"/>
                <w:b/>
                <w:bCs/>
                <w:sz w:val="20"/>
                <w:szCs w:val="20"/>
              </w:rPr>
              <w:t>5</w:t>
            </w:r>
            <w:r w:rsidR="0064062F" w:rsidRPr="00A65988">
              <w:rPr>
                <w:rFonts w:cs="Arial"/>
                <w:b/>
                <w:bCs/>
                <w:sz w:val="20"/>
                <w:szCs w:val="20"/>
              </w:rPr>
              <w:t>.</w:t>
            </w:r>
            <w:r w:rsidR="00A65988">
              <w:rPr>
                <w:rFonts w:cs="Arial"/>
                <w:b/>
                <w:bCs/>
                <w:sz w:val="20"/>
                <w:szCs w:val="20"/>
              </w:rPr>
              <w:t>08</w:t>
            </w:r>
            <w:r w:rsidR="00191E89">
              <w:rPr>
                <w:rFonts w:cs="Arial"/>
                <w:b/>
                <w:bCs/>
                <w:sz w:val="20"/>
                <w:szCs w:val="20"/>
              </w:rPr>
              <w:t>0</w:t>
            </w:r>
          </w:p>
        </w:tc>
      </w:tr>
    </w:tbl>
    <w:p w14:paraId="38919A8E" w14:textId="77777777" w:rsidR="00431B9C" w:rsidRDefault="00431B9C" w:rsidP="0049320F">
      <w:pPr>
        <w:tabs>
          <w:tab w:val="left" w:pos="851"/>
          <w:tab w:val="left" w:pos="1418"/>
        </w:tabs>
        <w:spacing w:after="0"/>
        <w:rPr>
          <w:b/>
        </w:rPr>
      </w:pPr>
    </w:p>
    <w:p w14:paraId="44E311C7" w14:textId="77777777" w:rsidR="00431B9C" w:rsidRDefault="00431B9C" w:rsidP="0049320F">
      <w:pPr>
        <w:tabs>
          <w:tab w:val="left" w:pos="851"/>
          <w:tab w:val="left" w:pos="1418"/>
        </w:tabs>
        <w:spacing w:after="0"/>
        <w:rPr>
          <w:rFonts w:cs="Arial"/>
        </w:rPr>
      </w:pPr>
    </w:p>
    <w:p w14:paraId="562DD11D" w14:textId="0948C2C5" w:rsidR="00431B9C" w:rsidRDefault="00431B9C" w:rsidP="0049320F">
      <w:pPr>
        <w:tabs>
          <w:tab w:val="left" w:pos="851"/>
          <w:tab w:val="left" w:pos="1418"/>
        </w:tabs>
        <w:spacing w:after="0"/>
        <w:rPr>
          <w:rFonts w:cs="Arial"/>
        </w:rPr>
      </w:pPr>
      <w:r w:rsidRPr="001D10D3">
        <w:rPr>
          <w:rFonts w:cs="Arial"/>
        </w:rPr>
        <w:t xml:space="preserve">The total net </w:t>
      </w:r>
      <w:r>
        <w:rPr>
          <w:rFonts w:cs="Arial"/>
        </w:rPr>
        <w:t>approved</w:t>
      </w:r>
      <w:r w:rsidRPr="001D10D3">
        <w:rPr>
          <w:rFonts w:cs="Arial"/>
        </w:rPr>
        <w:t xml:space="preserve"> budget </w:t>
      </w:r>
      <w:r>
        <w:rPr>
          <w:rFonts w:cs="Arial"/>
        </w:rPr>
        <w:t xml:space="preserve">for </w:t>
      </w:r>
      <w:r w:rsidRPr="001D10D3">
        <w:rPr>
          <w:rFonts w:cs="Arial"/>
        </w:rPr>
        <w:t xml:space="preserve">Adult Services </w:t>
      </w:r>
      <w:r>
        <w:rPr>
          <w:rFonts w:cs="Arial"/>
        </w:rPr>
        <w:t>in 2016/17 is £317.</w:t>
      </w:r>
      <w:r w:rsidR="00E25726">
        <w:rPr>
          <w:rFonts w:cs="Arial"/>
        </w:rPr>
        <w:t>410</w:t>
      </w:r>
      <w:r w:rsidRPr="00BB1937">
        <w:rPr>
          <w:rFonts w:cs="Arial"/>
        </w:rPr>
        <w:t xml:space="preserve">.  </w:t>
      </w:r>
      <w:r>
        <w:rPr>
          <w:rFonts w:cs="Arial"/>
        </w:rPr>
        <w:t>T</w:t>
      </w:r>
      <w:r w:rsidRPr="00BB1937">
        <w:rPr>
          <w:rFonts w:cs="Arial"/>
        </w:rPr>
        <w:t>he service is forecast t</w:t>
      </w:r>
      <w:r>
        <w:rPr>
          <w:rFonts w:cs="Arial"/>
        </w:rPr>
        <w:t xml:space="preserve">o </w:t>
      </w:r>
      <w:r w:rsidR="0064062F">
        <w:rPr>
          <w:rFonts w:cs="Arial"/>
        </w:rPr>
        <w:t xml:space="preserve">overspend by </w:t>
      </w:r>
      <w:r w:rsidR="00191E89">
        <w:rPr>
          <w:rFonts w:cs="Arial"/>
        </w:rPr>
        <w:t>£5.080</w:t>
      </w:r>
      <w:r w:rsidR="0064062F" w:rsidRPr="00A65988">
        <w:rPr>
          <w:rFonts w:cs="Arial"/>
        </w:rPr>
        <w:t>m</w:t>
      </w:r>
    </w:p>
    <w:p w14:paraId="36BC2CDD" w14:textId="77777777" w:rsidR="00431B9C" w:rsidRDefault="00431B9C" w:rsidP="0049320F">
      <w:pPr>
        <w:tabs>
          <w:tab w:val="left" w:pos="851"/>
          <w:tab w:val="left" w:pos="1418"/>
        </w:tabs>
        <w:spacing w:after="0"/>
        <w:rPr>
          <w:rFonts w:cs="Arial"/>
        </w:rPr>
      </w:pPr>
    </w:p>
    <w:p w14:paraId="198562BD" w14:textId="029B0996" w:rsidR="00436CA0" w:rsidRDefault="00431B9C" w:rsidP="0049320F">
      <w:pPr>
        <w:tabs>
          <w:tab w:val="left" w:pos="851"/>
          <w:tab w:val="left" w:pos="1418"/>
        </w:tabs>
        <w:spacing w:after="0"/>
        <w:rPr>
          <w:rFonts w:cs="Arial"/>
        </w:rPr>
      </w:pPr>
      <w:r>
        <w:rPr>
          <w:rFonts w:cs="Arial"/>
        </w:rPr>
        <w:t xml:space="preserve">This forecast includes the impact of the fee increases across homecare services, Learning Disabilities supported living and Physical Support over 65 residential and nursing services. </w:t>
      </w:r>
      <w:r w:rsidR="0064062F">
        <w:rPr>
          <w:rFonts w:cs="Arial"/>
        </w:rPr>
        <w:t xml:space="preserve">This is </w:t>
      </w:r>
      <w:r w:rsidR="0064062F" w:rsidRPr="00915096">
        <w:rPr>
          <w:rFonts w:cs="Arial"/>
        </w:rPr>
        <w:t>in addition to</w:t>
      </w:r>
      <w:r w:rsidRPr="00915096">
        <w:rPr>
          <w:rFonts w:cs="Arial"/>
        </w:rPr>
        <w:t xml:space="preserve"> the impact of the further fee uplifts proposed to take effect in September 2016. </w:t>
      </w:r>
      <w:r w:rsidRPr="00915096">
        <w:rPr>
          <w:rFonts w:cs="Arial"/>
          <w:color w:val="auto"/>
        </w:rPr>
        <w:t>These increases have been further considered as part of the MTFS review.</w:t>
      </w:r>
      <w:r w:rsidR="00436CA0" w:rsidRPr="00915096">
        <w:rPr>
          <w:rFonts w:cs="Arial"/>
          <w:color w:val="auto"/>
        </w:rPr>
        <w:t xml:space="preserve"> The forecast also in</w:t>
      </w:r>
      <w:r w:rsidR="00913119">
        <w:rPr>
          <w:rFonts w:cs="Arial"/>
          <w:color w:val="auto"/>
        </w:rPr>
        <w:t>corporates</w:t>
      </w:r>
      <w:r w:rsidR="00436CA0" w:rsidRPr="00915096">
        <w:rPr>
          <w:rFonts w:cs="Arial"/>
          <w:color w:val="auto"/>
        </w:rPr>
        <w:t xml:space="preserve"> budgeted savings of </w:t>
      </w:r>
      <w:r w:rsidR="00D46DA7">
        <w:rPr>
          <w:rFonts w:cs="Arial"/>
          <w:color w:val="auto"/>
        </w:rPr>
        <w:t>£</w:t>
      </w:r>
      <w:r w:rsidR="00436CA0" w:rsidRPr="00915096">
        <w:rPr>
          <w:rFonts w:cs="Arial"/>
          <w:color w:val="auto"/>
        </w:rPr>
        <w:t xml:space="preserve">13.223m. </w:t>
      </w:r>
    </w:p>
    <w:p w14:paraId="04D58392" w14:textId="77777777" w:rsidR="00431B9C" w:rsidRDefault="00431B9C" w:rsidP="0049320F">
      <w:pPr>
        <w:tabs>
          <w:tab w:val="left" w:pos="851"/>
          <w:tab w:val="left" w:pos="1418"/>
        </w:tabs>
        <w:spacing w:after="0"/>
        <w:rPr>
          <w:rFonts w:cs="Arial"/>
        </w:rPr>
      </w:pPr>
    </w:p>
    <w:p w14:paraId="5D26F8DF" w14:textId="46D92985" w:rsidR="00BE7DE7" w:rsidRPr="00BE7DE7" w:rsidRDefault="00BE7DE7" w:rsidP="0049320F">
      <w:pPr>
        <w:rPr>
          <w:rFonts w:eastAsiaTheme="minorHAnsi" w:cstheme="minorBidi"/>
          <w:color w:val="auto"/>
          <w:sz w:val="22"/>
          <w:szCs w:val="22"/>
        </w:rPr>
      </w:pPr>
      <w:r w:rsidRPr="00F006A6">
        <w:t>Adult Social Care and Mental Health, Learning Disabilities and Autism are currently implementing their approved staffing restructure which is forecast to utilise £2.832m from reserves.</w:t>
      </w:r>
    </w:p>
    <w:p w14:paraId="3B265B34" w14:textId="77777777" w:rsidR="00BE7DE7" w:rsidRPr="00BB1937" w:rsidRDefault="00BE7DE7" w:rsidP="0049320F">
      <w:pPr>
        <w:tabs>
          <w:tab w:val="left" w:pos="851"/>
          <w:tab w:val="left" w:pos="1418"/>
        </w:tabs>
        <w:spacing w:after="0"/>
        <w:rPr>
          <w:rFonts w:cs="Arial"/>
        </w:rPr>
      </w:pPr>
    </w:p>
    <w:p w14:paraId="0E253D0D" w14:textId="03343498" w:rsidR="00431B9C" w:rsidRPr="00DB72AE" w:rsidRDefault="00431B9C" w:rsidP="0049320F">
      <w:pPr>
        <w:pStyle w:val="ListParagraph"/>
        <w:numPr>
          <w:ilvl w:val="2"/>
          <w:numId w:val="37"/>
        </w:numPr>
        <w:tabs>
          <w:tab w:val="left" w:pos="851"/>
          <w:tab w:val="left" w:pos="1418"/>
        </w:tabs>
        <w:spacing w:after="0"/>
        <w:rPr>
          <w:rFonts w:cs="Arial"/>
          <w:b/>
        </w:rPr>
      </w:pPr>
      <w:r w:rsidRPr="00DB72AE">
        <w:rPr>
          <w:rFonts w:cs="Arial"/>
          <w:b/>
        </w:rPr>
        <w:t>Disability Service</w:t>
      </w:r>
    </w:p>
    <w:p w14:paraId="2B258F8E" w14:textId="77777777" w:rsidR="00DB72AE" w:rsidRDefault="00DB72AE" w:rsidP="0049320F">
      <w:pPr>
        <w:tabs>
          <w:tab w:val="left" w:pos="851"/>
          <w:tab w:val="left" w:pos="1418"/>
        </w:tabs>
        <w:spacing w:after="0"/>
        <w:rPr>
          <w:rFonts w:cs="Arial"/>
        </w:rPr>
      </w:pPr>
    </w:p>
    <w:p w14:paraId="39FCF5EE" w14:textId="0AAE311E" w:rsidR="00431B9C" w:rsidRDefault="00431B9C" w:rsidP="0049320F">
      <w:pPr>
        <w:tabs>
          <w:tab w:val="left" w:pos="851"/>
          <w:tab w:val="left" w:pos="1418"/>
        </w:tabs>
        <w:spacing w:after="0"/>
        <w:rPr>
          <w:rFonts w:cs="Arial"/>
        </w:rPr>
      </w:pPr>
      <w:r w:rsidRPr="00DB72AE">
        <w:rPr>
          <w:rFonts w:cs="Arial"/>
        </w:rPr>
        <w:t>The servic</w:t>
      </w:r>
      <w:r w:rsidR="00191E89">
        <w:rPr>
          <w:rFonts w:cs="Arial"/>
        </w:rPr>
        <w:t xml:space="preserve">e is </w:t>
      </w:r>
      <w:r w:rsidR="00D46DA7">
        <w:rPr>
          <w:rFonts w:cs="Arial"/>
        </w:rPr>
        <w:t>forecast</w:t>
      </w:r>
      <w:r w:rsidR="00191E89">
        <w:rPr>
          <w:rFonts w:cs="Arial"/>
        </w:rPr>
        <w:t xml:space="preserve"> to underspend by £0.463</w:t>
      </w:r>
      <w:r w:rsidRPr="00DB72AE">
        <w:rPr>
          <w:rFonts w:cs="Arial"/>
        </w:rPr>
        <w:t>m</w:t>
      </w:r>
    </w:p>
    <w:p w14:paraId="6A35BCAF" w14:textId="77777777" w:rsidR="00DB72AE" w:rsidRDefault="00DB72AE" w:rsidP="0049320F">
      <w:pPr>
        <w:tabs>
          <w:tab w:val="left" w:pos="851"/>
          <w:tab w:val="left" w:pos="1418"/>
        </w:tabs>
        <w:spacing w:after="0"/>
        <w:rPr>
          <w:rFonts w:cs="Arial"/>
        </w:rPr>
      </w:pPr>
    </w:p>
    <w:p w14:paraId="5B0102BE" w14:textId="06332EFB" w:rsidR="00DB72AE" w:rsidRPr="00191E89" w:rsidRDefault="00E260DF" w:rsidP="0049320F">
      <w:pPr>
        <w:pStyle w:val="ListParagraph"/>
        <w:numPr>
          <w:ilvl w:val="0"/>
          <w:numId w:val="36"/>
        </w:numPr>
        <w:tabs>
          <w:tab w:val="left" w:pos="851"/>
          <w:tab w:val="left" w:pos="1418"/>
        </w:tabs>
        <w:spacing w:after="0"/>
        <w:rPr>
          <w:rFonts w:cs="Arial"/>
        </w:rPr>
      </w:pPr>
      <w:r>
        <w:rPr>
          <w:rFonts w:cs="Arial"/>
        </w:rPr>
        <w:t>Day Services are fo</w:t>
      </w:r>
      <w:r w:rsidR="00DB72AE">
        <w:rPr>
          <w:rFonts w:cs="Arial"/>
        </w:rPr>
        <w:t>recast to underspend by £1.962m</w:t>
      </w:r>
      <w:r w:rsidR="00DB72AE" w:rsidRPr="00191E89">
        <w:rPr>
          <w:rFonts w:cs="Arial"/>
        </w:rPr>
        <w:t xml:space="preserve">. </w:t>
      </w:r>
    </w:p>
    <w:p w14:paraId="567EB573" w14:textId="749E08E8" w:rsidR="00DB72AE" w:rsidRPr="00191E89" w:rsidRDefault="00B931A6" w:rsidP="0049320F">
      <w:pPr>
        <w:pStyle w:val="ListParagraph"/>
        <w:numPr>
          <w:ilvl w:val="0"/>
          <w:numId w:val="36"/>
        </w:numPr>
        <w:tabs>
          <w:tab w:val="left" w:pos="851"/>
          <w:tab w:val="left" w:pos="1418"/>
        </w:tabs>
        <w:spacing w:after="0"/>
        <w:rPr>
          <w:rFonts w:cs="Arial"/>
        </w:rPr>
      </w:pPr>
      <w:r w:rsidRPr="00191E89">
        <w:rPr>
          <w:rFonts w:cs="Arial"/>
        </w:rPr>
        <w:t>Domiciliary</w:t>
      </w:r>
      <w:r w:rsidR="00DB72AE" w:rsidRPr="00191E89">
        <w:rPr>
          <w:rFonts w:cs="Arial"/>
        </w:rPr>
        <w:t xml:space="preserve"> care services are forecast to overspend by £1.331m. </w:t>
      </w:r>
    </w:p>
    <w:p w14:paraId="206298C8" w14:textId="0888AECB" w:rsidR="00DB72AE" w:rsidRPr="00191E89" w:rsidRDefault="00DB72AE" w:rsidP="0049320F">
      <w:pPr>
        <w:pStyle w:val="ListParagraph"/>
        <w:numPr>
          <w:ilvl w:val="0"/>
          <w:numId w:val="36"/>
        </w:numPr>
        <w:tabs>
          <w:tab w:val="left" w:pos="851"/>
          <w:tab w:val="left" w:pos="1418"/>
        </w:tabs>
        <w:spacing w:after="0"/>
        <w:rPr>
          <w:rFonts w:cs="Arial"/>
        </w:rPr>
      </w:pPr>
      <w:r w:rsidRPr="00191E89">
        <w:rPr>
          <w:rFonts w:cs="Arial"/>
        </w:rPr>
        <w:t xml:space="preserve">There are additional overspends of £0.169m which relate to other small variances across the service. </w:t>
      </w:r>
    </w:p>
    <w:p w14:paraId="6DC88F2F" w14:textId="6AA9C20A" w:rsidR="00A65988" w:rsidRPr="00DB72AE" w:rsidRDefault="00A65988" w:rsidP="0049320F">
      <w:pPr>
        <w:pStyle w:val="ListParagraph"/>
        <w:numPr>
          <w:ilvl w:val="0"/>
          <w:numId w:val="36"/>
        </w:numPr>
        <w:tabs>
          <w:tab w:val="left" w:pos="851"/>
          <w:tab w:val="left" w:pos="1418"/>
        </w:tabs>
        <w:spacing w:after="0"/>
        <w:rPr>
          <w:rFonts w:cs="Arial"/>
        </w:rPr>
      </w:pPr>
      <w:r w:rsidRPr="00191E89">
        <w:rPr>
          <w:rFonts w:cs="Arial"/>
        </w:rPr>
        <w:t>This service is currently being reviewed and redesigned and</w:t>
      </w:r>
      <w:r>
        <w:rPr>
          <w:rFonts w:cs="Arial"/>
        </w:rPr>
        <w:t xml:space="preserve"> as such most of the underspend on Day Services is being held to off-set overspending in other areas as service plans are being developed</w:t>
      </w:r>
      <w:r w:rsidR="00D46DA7">
        <w:rPr>
          <w:rFonts w:cs="Arial"/>
        </w:rPr>
        <w:t xml:space="preserve">, at which point budgets will be realigned appropriately. </w:t>
      </w:r>
    </w:p>
    <w:p w14:paraId="387384A0" w14:textId="77777777" w:rsidR="00431B9C" w:rsidRDefault="00431B9C" w:rsidP="0049320F">
      <w:pPr>
        <w:tabs>
          <w:tab w:val="left" w:pos="851"/>
          <w:tab w:val="left" w:pos="1418"/>
        </w:tabs>
        <w:spacing w:after="0"/>
        <w:rPr>
          <w:rFonts w:cs="Arial"/>
          <w:b/>
        </w:rPr>
      </w:pPr>
    </w:p>
    <w:p w14:paraId="42B3CDCF" w14:textId="32008BD2" w:rsidR="00431B9C" w:rsidRPr="000B291B" w:rsidRDefault="00431B9C" w:rsidP="0049320F">
      <w:pPr>
        <w:pStyle w:val="ListParagraph"/>
        <w:numPr>
          <w:ilvl w:val="2"/>
          <w:numId w:val="37"/>
        </w:numPr>
        <w:tabs>
          <w:tab w:val="left" w:pos="851"/>
          <w:tab w:val="left" w:pos="1418"/>
        </w:tabs>
        <w:spacing w:after="0"/>
        <w:rPr>
          <w:rFonts w:cs="Arial"/>
          <w:b/>
        </w:rPr>
      </w:pPr>
      <w:r w:rsidRPr="000B291B">
        <w:rPr>
          <w:rFonts w:cs="Arial"/>
          <w:b/>
        </w:rPr>
        <w:t>Older P</w:t>
      </w:r>
      <w:r w:rsidR="000B291B" w:rsidRPr="000B291B">
        <w:rPr>
          <w:rFonts w:cs="Arial"/>
          <w:b/>
        </w:rPr>
        <w:t>eople – In-House Care S</w:t>
      </w:r>
      <w:r w:rsidRPr="000B291B">
        <w:rPr>
          <w:rFonts w:cs="Arial"/>
          <w:b/>
        </w:rPr>
        <w:t>ervices</w:t>
      </w:r>
    </w:p>
    <w:p w14:paraId="07D6E934" w14:textId="77777777" w:rsidR="000B291B" w:rsidRDefault="000B291B" w:rsidP="0049320F">
      <w:pPr>
        <w:tabs>
          <w:tab w:val="left" w:pos="851"/>
          <w:tab w:val="left" w:pos="1418"/>
        </w:tabs>
        <w:spacing w:after="0"/>
        <w:rPr>
          <w:rFonts w:cs="Arial"/>
        </w:rPr>
      </w:pPr>
    </w:p>
    <w:p w14:paraId="0D5B2C48" w14:textId="670AE135" w:rsidR="00431B9C" w:rsidRPr="000B291B" w:rsidRDefault="00431B9C" w:rsidP="0049320F">
      <w:pPr>
        <w:tabs>
          <w:tab w:val="left" w:pos="851"/>
          <w:tab w:val="left" w:pos="1418"/>
        </w:tabs>
        <w:spacing w:after="0"/>
        <w:rPr>
          <w:rFonts w:cs="Arial"/>
        </w:rPr>
      </w:pPr>
      <w:r w:rsidRPr="000B291B">
        <w:rPr>
          <w:rFonts w:cs="Arial"/>
        </w:rPr>
        <w:t>The Service i</w:t>
      </w:r>
      <w:r w:rsidR="00D46DA7">
        <w:rPr>
          <w:rFonts w:cs="Arial"/>
        </w:rPr>
        <w:t>s forecast</w:t>
      </w:r>
      <w:r w:rsidRPr="000B291B">
        <w:rPr>
          <w:rFonts w:cs="Arial"/>
        </w:rPr>
        <w:t xml:space="preserve"> to underspend by £0.424m</w:t>
      </w:r>
    </w:p>
    <w:p w14:paraId="7DBE8B3D" w14:textId="77777777" w:rsidR="00431B9C" w:rsidRDefault="00431B9C" w:rsidP="0049320F">
      <w:pPr>
        <w:tabs>
          <w:tab w:val="left" w:pos="851"/>
          <w:tab w:val="left" w:pos="1418"/>
        </w:tabs>
        <w:spacing w:after="0"/>
        <w:rPr>
          <w:rFonts w:cs="Arial"/>
          <w:b/>
        </w:rPr>
      </w:pPr>
    </w:p>
    <w:p w14:paraId="5ABD2011" w14:textId="113011D8" w:rsidR="000B291B" w:rsidRPr="00191E89" w:rsidRDefault="000B291B" w:rsidP="0049320F">
      <w:pPr>
        <w:pStyle w:val="ListParagraph"/>
        <w:numPr>
          <w:ilvl w:val="0"/>
          <w:numId w:val="38"/>
        </w:numPr>
        <w:tabs>
          <w:tab w:val="left" w:pos="851"/>
          <w:tab w:val="left" w:pos="1418"/>
        </w:tabs>
        <w:spacing w:after="0"/>
        <w:rPr>
          <w:rFonts w:cs="Arial"/>
          <w:b/>
        </w:rPr>
      </w:pPr>
      <w:r w:rsidRPr="00191E89">
        <w:rPr>
          <w:rFonts w:cs="Arial"/>
        </w:rPr>
        <w:t xml:space="preserve">Included within this total, the core service delivery budget delivering care through the operation of 17 care homes and 14 day centres is forecast to overachieve it's budgeted income target </w:t>
      </w:r>
      <w:r w:rsidR="00D03767" w:rsidRPr="00191E89">
        <w:rPr>
          <w:rFonts w:cs="Arial"/>
        </w:rPr>
        <w:t xml:space="preserve"> by £0.424</w:t>
      </w:r>
      <w:r w:rsidR="00D46DA7">
        <w:rPr>
          <w:rFonts w:cs="Arial"/>
        </w:rPr>
        <w:t xml:space="preserve">m resulting in the overall forecast positive variance against budget. </w:t>
      </w:r>
    </w:p>
    <w:p w14:paraId="0AD1E883" w14:textId="77777777" w:rsidR="000B291B" w:rsidRDefault="000B291B" w:rsidP="0049320F">
      <w:pPr>
        <w:pStyle w:val="ListParagraph"/>
        <w:tabs>
          <w:tab w:val="left" w:pos="851"/>
          <w:tab w:val="left" w:pos="1418"/>
        </w:tabs>
        <w:spacing w:after="0"/>
        <w:rPr>
          <w:rFonts w:cs="Arial"/>
          <w:b/>
        </w:rPr>
      </w:pPr>
    </w:p>
    <w:p w14:paraId="20ABEAEF" w14:textId="77777777" w:rsidR="00CE74C9" w:rsidRPr="000B291B" w:rsidRDefault="00CE74C9" w:rsidP="0049320F">
      <w:pPr>
        <w:pStyle w:val="ListParagraph"/>
        <w:tabs>
          <w:tab w:val="left" w:pos="851"/>
          <w:tab w:val="left" w:pos="1418"/>
        </w:tabs>
        <w:spacing w:after="0"/>
        <w:rPr>
          <w:rFonts w:cs="Arial"/>
          <w:b/>
        </w:rPr>
      </w:pPr>
    </w:p>
    <w:p w14:paraId="11F08F23" w14:textId="0E591B05" w:rsidR="00431B9C" w:rsidRPr="00F110C9" w:rsidRDefault="00DE4B16" w:rsidP="0049320F">
      <w:pPr>
        <w:tabs>
          <w:tab w:val="left" w:pos="851"/>
          <w:tab w:val="left" w:pos="1418"/>
        </w:tabs>
        <w:spacing w:after="0"/>
        <w:rPr>
          <w:rFonts w:cs="Arial"/>
        </w:rPr>
      </w:pPr>
      <w:r w:rsidRPr="00F110C9">
        <w:rPr>
          <w:rFonts w:cs="Arial"/>
          <w:b/>
        </w:rPr>
        <w:lastRenderedPageBreak/>
        <w:t>3.1</w:t>
      </w:r>
      <w:r w:rsidR="00431B9C" w:rsidRPr="00F110C9">
        <w:rPr>
          <w:rFonts w:cs="Arial"/>
          <w:b/>
        </w:rPr>
        <w:t>.4</w:t>
      </w:r>
      <w:r w:rsidR="00431B9C" w:rsidRPr="00F110C9">
        <w:rPr>
          <w:rFonts w:cs="Arial"/>
          <w:b/>
        </w:rPr>
        <w:tab/>
        <w:t>Safeguarding</w:t>
      </w:r>
    </w:p>
    <w:p w14:paraId="710E5E48" w14:textId="77777777" w:rsidR="00C13BEF" w:rsidRPr="00F110C9" w:rsidRDefault="00C13BEF" w:rsidP="0049320F">
      <w:pPr>
        <w:tabs>
          <w:tab w:val="left" w:pos="851"/>
          <w:tab w:val="left" w:pos="1418"/>
        </w:tabs>
        <w:spacing w:after="0"/>
        <w:rPr>
          <w:rFonts w:cs="Arial"/>
        </w:rPr>
      </w:pPr>
    </w:p>
    <w:p w14:paraId="59113FAB" w14:textId="587484FD" w:rsidR="00524679" w:rsidRPr="00161FFE" w:rsidRDefault="00431B9C" w:rsidP="0049320F">
      <w:pPr>
        <w:tabs>
          <w:tab w:val="left" w:pos="851"/>
          <w:tab w:val="left" w:pos="1418"/>
        </w:tabs>
        <w:spacing w:after="0"/>
        <w:rPr>
          <w:rFonts w:cs="Arial"/>
          <w:b/>
          <w:bCs/>
        </w:rPr>
      </w:pPr>
      <w:r w:rsidRPr="00161FFE">
        <w:rPr>
          <w:rFonts w:cs="Arial"/>
        </w:rPr>
        <w:t xml:space="preserve">The Service is due to overspend </w:t>
      </w:r>
      <w:r w:rsidR="00337D20" w:rsidRPr="00161FFE">
        <w:rPr>
          <w:rFonts w:cs="Arial"/>
        </w:rPr>
        <w:t xml:space="preserve">overall </w:t>
      </w:r>
      <w:r w:rsidRPr="00161FFE">
        <w:rPr>
          <w:rFonts w:cs="Arial"/>
        </w:rPr>
        <w:t>by £</w:t>
      </w:r>
      <w:r w:rsidR="000413D0" w:rsidRPr="00161FFE">
        <w:rPr>
          <w:rFonts w:cs="Arial"/>
        </w:rPr>
        <w:t>0.30</w:t>
      </w:r>
      <w:r w:rsidR="00CE74C9" w:rsidRPr="00161FFE">
        <w:rPr>
          <w:rFonts w:cs="Arial"/>
        </w:rPr>
        <w:t>3</w:t>
      </w:r>
      <w:r w:rsidRPr="00161FFE">
        <w:rPr>
          <w:rFonts w:cs="Arial"/>
        </w:rPr>
        <w:t>m</w:t>
      </w:r>
      <w:r w:rsidR="00337D20" w:rsidRPr="00161FFE">
        <w:rPr>
          <w:rFonts w:cs="Arial"/>
        </w:rPr>
        <w:t>, the breakdown of this variance is detailed below</w:t>
      </w:r>
      <w:r w:rsidR="00763EA4" w:rsidRPr="00161FFE">
        <w:rPr>
          <w:rFonts w:cs="Arial"/>
        </w:rPr>
        <w:t xml:space="preserve">. </w:t>
      </w:r>
      <w:r w:rsidR="00524679" w:rsidRPr="00161FFE">
        <w:rPr>
          <w:rFonts w:cs="Arial"/>
          <w:color w:val="auto"/>
        </w:rPr>
        <w:t xml:space="preserve">This </w:t>
      </w:r>
      <w:r w:rsidR="00BD50D4" w:rsidRPr="00161FFE">
        <w:rPr>
          <w:rFonts w:cs="Arial"/>
          <w:color w:val="auto"/>
        </w:rPr>
        <w:t>budget has been reduced by</w:t>
      </w:r>
      <w:r w:rsidR="00524679" w:rsidRPr="00161FFE">
        <w:rPr>
          <w:rFonts w:cs="Arial"/>
          <w:color w:val="auto"/>
        </w:rPr>
        <w:t xml:space="preserve"> £0.362m </w:t>
      </w:r>
      <w:r w:rsidR="00BD50D4" w:rsidRPr="00161FFE">
        <w:rPr>
          <w:rFonts w:cs="Arial"/>
          <w:color w:val="auto"/>
        </w:rPr>
        <w:t>as a result of approved savings, however</w:t>
      </w:r>
      <w:r w:rsidR="00524679" w:rsidRPr="00161FFE">
        <w:rPr>
          <w:rFonts w:cs="Arial"/>
          <w:color w:val="auto"/>
        </w:rPr>
        <w:t xml:space="preserve"> it was</w:t>
      </w:r>
      <w:r w:rsidR="00BD50D4" w:rsidRPr="00161FFE">
        <w:rPr>
          <w:rFonts w:cs="Arial"/>
          <w:color w:val="auto"/>
        </w:rPr>
        <w:t xml:space="preserve"> </w:t>
      </w:r>
      <w:r w:rsidR="00D46DA7" w:rsidRPr="00161FFE">
        <w:rPr>
          <w:rFonts w:cs="Arial"/>
          <w:color w:val="auto"/>
        </w:rPr>
        <w:t>agreed</w:t>
      </w:r>
      <w:r w:rsidR="00524679" w:rsidRPr="00161FFE">
        <w:rPr>
          <w:rFonts w:cs="Arial"/>
          <w:color w:val="auto"/>
        </w:rPr>
        <w:t xml:space="preserve"> </w:t>
      </w:r>
      <w:r w:rsidR="00BD50D4" w:rsidRPr="00161FFE">
        <w:rPr>
          <w:rFonts w:cs="Arial"/>
          <w:color w:val="auto"/>
        </w:rPr>
        <w:t xml:space="preserve">that </w:t>
      </w:r>
      <w:r w:rsidR="00524679" w:rsidRPr="00161FFE">
        <w:rPr>
          <w:rFonts w:cs="Arial"/>
          <w:color w:val="auto"/>
        </w:rPr>
        <w:t xml:space="preserve">funding from the transitional reserve would </w:t>
      </w:r>
      <w:r w:rsidR="00BD50D4" w:rsidRPr="00161FFE">
        <w:rPr>
          <w:rFonts w:cs="Arial"/>
          <w:color w:val="auto"/>
        </w:rPr>
        <w:t xml:space="preserve">fully </w:t>
      </w:r>
      <w:r w:rsidR="00524679" w:rsidRPr="00161FFE">
        <w:rPr>
          <w:rFonts w:cs="Arial"/>
          <w:color w:val="auto"/>
        </w:rPr>
        <w:t xml:space="preserve">support </w:t>
      </w:r>
      <w:r w:rsidR="00BD50D4" w:rsidRPr="00161FFE">
        <w:rPr>
          <w:rFonts w:cs="Arial"/>
          <w:color w:val="auto"/>
        </w:rPr>
        <w:t xml:space="preserve">this saving </w:t>
      </w:r>
      <w:r w:rsidR="00524679" w:rsidRPr="00161FFE">
        <w:rPr>
          <w:rFonts w:cs="Arial"/>
          <w:color w:val="auto"/>
        </w:rPr>
        <w:t>in 2016/17</w:t>
      </w:r>
      <w:r w:rsidR="00BD50D4" w:rsidRPr="00161FFE">
        <w:rPr>
          <w:rFonts w:cs="Arial"/>
          <w:color w:val="auto"/>
        </w:rPr>
        <w:t>. D</w:t>
      </w:r>
      <w:r w:rsidR="00524679" w:rsidRPr="00161FFE">
        <w:rPr>
          <w:rFonts w:cs="Arial"/>
          <w:color w:val="auto"/>
        </w:rPr>
        <w:t xml:space="preserve">ue to natural turnover and disbandment of the Health Care Systems </w:t>
      </w:r>
      <w:r w:rsidR="00D46DA7" w:rsidRPr="00161FFE">
        <w:rPr>
          <w:rFonts w:cs="Arial"/>
          <w:color w:val="auto"/>
        </w:rPr>
        <w:t xml:space="preserve">Development </w:t>
      </w:r>
      <w:r w:rsidR="00524679" w:rsidRPr="00161FFE">
        <w:rPr>
          <w:rFonts w:cs="Arial"/>
          <w:color w:val="auto"/>
        </w:rPr>
        <w:t xml:space="preserve">Team the funding is no longer required. </w:t>
      </w:r>
    </w:p>
    <w:p w14:paraId="24F1E790" w14:textId="77777777" w:rsidR="00431B9C" w:rsidRPr="00161FFE" w:rsidRDefault="00431B9C" w:rsidP="00CE74C9">
      <w:pPr>
        <w:tabs>
          <w:tab w:val="left" w:pos="851"/>
          <w:tab w:val="left" w:pos="1418"/>
        </w:tabs>
        <w:spacing w:after="0"/>
        <w:rPr>
          <w:rFonts w:cs="Arial"/>
        </w:rPr>
      </w:pPr>
    </w:p>
    <w:p w14:paraId="6F4D4345" w14:textId="511BF040" w:rsidR="00431B9C" w:rsidRPr="00161FFE" w:rsidRDefault="00431B9C" w:rsidP="0049320F">
      <w:pPr>
        <w:tabs>
          <w:tab w:val="left" w:pos="851"/>
          <w:tab w:val="left" w:pos="1418"/>
        </w:tabs>
        <w:spacing w:after="0"/>
        <w:rPr>
          <w:rFonts w:cs="Arial"/>
          <w:b/>
        </w:rPr>
      </w:pPr>
      <w:r w:rsidRPr="00161FFE">
        <w:rPr>
          <w:rFonts w:cs="Arial"/>
          <w:b/>
        </w:rPr>
        <w:t xml:space="preserve">Mental Health </w:t>
      </w:r>
      <w:r w:rsidR="00C13BEF" w:rsidRPr="00161FFE">
        <w:rPr>
          <w:rFonts w:cs="Arial"/>
          <w:b/>
        </w:rPr>
        <w:t>–</w:t>
      </w:r>
      <w:r w:rsidRPr="00161FFE">
        <w:rPr>
          <w:rFonts w:cs="Arial"/>
          <w:b/>
        </w:rPr>
        <w:t xml:space="preserve"> Residential</w:t>
      </w:r>
    </w:p>
    <w:p w14:paraId="4F43F3A8" w14:textId="77777777" w:rsidR="00C13BEF" w:rsidRPr="00161FFE" w:rsidRDefault="00C13BEF" w:rsidP="0049320F">
      <w:pPr>
        <w:tabs>
          <w:tab w:val="left" w:pos="851"/>
          <w:tab w:val="left" w:pos="1418"/>
        </w:tabs>
        <w:spacing w:after="0"/>
        <w:rPr>
          <w:rFonts w:cs="Arial"/>
          <w:b/>
        </w:rPr>
      </w:pPr>
    </w:p>
    <w:p w14:paraId="75F35A74" w14:textId="7DA4C7AC" w:rsidR="00C13BEF" w:rsidRPr="00161FFE" w:rsidRDefault="00C13BEF" w:rsidP="0049320F">
      <w:pPr>
        <w:pStyle w:val="ListParagraph"/>
        <w:numPr>
          <w:ilvl w:val="0"/>
          <w:numId w:val="39"/>
        </w:numPr>
        <w:spacing w:after="0"/>
        <w:rPr>
          <w:rFonts w:eastAsia="Cambria" w:cs="Arial"/>
          <w:color w:val="auto"/>
          <w:lang w:eastAsia="en-GB"/>
        </w:rPr>
      </w:pPr>
      <w:r w:rsidRPr="00161FFE">
        <w:rPr>
          <w:rFonts w:eastAsia="Cambria" w:cs="Arial"/>
          <w:color w:val="auto"/>
          <w:lang w:eastAsia="en-GB"/>
        </w:rPr>
        <w:t xml:space="preserve">Mental Health residential care is forecast to </w:t>
      </w:r>
      <w:r w:rsidR="00A14A39" w:rsidRPr="00161FFE">
        <w:rPr>
          <w:rFonts w:eastAsia="Cambria" w:cs="Arial"/>
          <w:color w:val="auto"/>
          <w:lang w:eastAsia="en-GB"/>
        </w:rPr>
        <w:t>underspend</w:t>
      </w:r>
      <w:r w:rsidRPr="00161FFE">
        <w:rPr>
          <w:rFonts w:eastAsia="Cambria" w:cs="Arial"/>
          <w:color w:val="auto"/>
          <w:lang w:eastAsia="en-GB"/>
        </w:rPr>
        <w:t xml:space="preserve"> by £</w:t>
      </w:r>
      <w:r w:rsidR="00A14A39" w:rsidRPr="00161FFE">
        <w:rPr>
          <w:rFonts w:eastAsia="Cambria" w:cs="Arial"/>
          <w:color w:val="auto"/>
          <w:lang w:eastAsia="en-GB"/>
        </w:rPr>
        <w:t>0.520</w:t>
      </w:r>
      <w:r w:rsidRPr="00161FFE">
        <w:rPr>
          <w:rFonts w:eastAsia="Cambria" w:cs="Arial"/>
          <w:color w:val="auto"/>
          <w:lang w:eastAsia="en-GB"/>
        </w:rPr>
        <w:t xml:space="preserve">m </w:t>
      </w:r>
    </w:p>
    <w:p w14:paraId="3B1C4828" w14:textId="7137BDDA" w:rsidR="00C13BEF" w:rsidRPr="00161FFE" w:rsidRDefault="00C13BEF" w:rsidP="0049320F">
      <w:pPr>
        <w:pStyle w:val="ListParagraph"/>
        <w:numPr>
          <w:ilvl w:val="0"/>
          <w:numId w:val="40"/>
        </w:numPr>
        <w:spacing w:after="0"/>
        <w:rPr>
          <w:rFonts w:eastAsia="Cambria" w:cs="Arial"/>
          <w:color w:val="auto"/>
          <w:lang w:eastAsia="en-GB"/>
        </w:rPr>
      </w:pPr>
      <w:r w:rsidRPr="00161FFE">
        <w:rPr>
          <w:rFonts w:eastAsia="Cambria" w:cs="Arial"/>
          <w:color w:val="auto"/>
          <w:lang w:eastAsia="en-GB"/>
        </w:rPr>
        <w:t>Since April 201</w:t>
      </w:r>
      <w:r w:rsidR="00F110C9" w:rsidRPr="00161FFE">
        <w:rPr>
          <w:rFonts w:eastAsia="Cambria" w:cs="Arial"/>
          <w:color w:val="auto"/>
          <w:lang w:eastAsia="en-GB"/>
        </w:rPr>
        <w:t>5</w:t>
      </w:r>
      <w:r w:rsidRPr="00161FFE">
        <w:rPr>
          <w:rFonts w:eastAsia="Cambria" w:cs="Arial"/>
          <w:color w:val="auto"/>
          <w:lang w:eastAsia="en-GB"/>
        </w:rPr>
        <w:t xml:space="preserve"> there has been a </w:t>
      </w:r>
      <w:r w:rsidR="00F110C9" w:rsidRPr="00161FFE">
        <w:rPr>
          <w:rFonts w:eastAsia="Cambria" w:cs="Arial"/>
          <w:color w:val="auto"/>
          <w:lang w:eastAsia="en-GB"/>
        </w:rPr>
        <w:t>1.5</w:t>
      </w:r>
      <w:r w:rsidRPr="00161FFE">
        <w:rPr>
          <w:rFonts w:eastAsia="Cambria" w:cs="Arial"/>
          <w:color w:val="auto"/>
          <w:lang w:eastAsia="en-GB"/>
        </w:rPr>
        <w:t xml:space="preserve">% </w:t>
      </w:r>
      <w:r w:rsidR="00F110C9" w:rsidRPr="00161FFE">
        <w:rPr>
          <w:rFonts w:eastAsia="Cambria" w:cs="Arial"/>
          <w:color w:val="auto"/>
          <w:lang w:eastAsia="en-GB"/>
        </w:rPr>
        <w:t>decrease</w:t>
      </w:r>
      <w:r w:rsidRPr="00161FFE">
        <w:rPr>
          <w:rFonts w:eastAsia="Cambria" w:cs="Arial"/>
          <w:color w:val="auto"/>
          <w:lang w:eastAsia="en-GB"/>
        </w:rPr>
        <w:t xml:space="preserve"> in the number of service users</w:t>
      </w:r>
      <w:r w:rsidR="00F110C9" w:rsidRPr="00161FFE">
        <w:rPr>
          <w:rFonts w:eastAsia="Cambria" w:cs="Arial"/>
          <w:color w:val="auto"/>
          <w:lang w:eastAsia="en-GB"/>
        </w:rPr>
        <w:t xml:space="preserve"> (April 201</w:t>
      </w:r>
      <w:r w:rsidR="008A0A19" w:rsidRPr="00161FFE">
        <w:rPr>
          <w:rFonts w:eastAsia="Cambria" w:cs="Arial"/>
          <w:color w:val="auto"/>
          <w:lang w:eastAsia="en-GB"/>
        </w:rPr>
        <w:t>6</w:t>
      </w:r>
      <w:r w:rsidR="00F110C9" w:rsidRPr="00161FFE">
        <w:rPr>
          <w:rFonts w:eastAsia="Cambria" w:cs="Arial"/>
          <w:color w:val="auto"/>
          <w:lang w:eastAsia="en-GB"/>
        </w:rPr>
        <w:t xml:space="preserve"> 300; June 2016 – 296) with the average weekly cost of care packages only increasing by 1.5%, which is lower than had been expected. </w:t>
      </w:r>
      <w:r w:rsidRPr="00161FFE">
        <w:rPr>
          <w:rFonts w:eastAsia="Cambria" w:cs="Arial"/>
          <w:color w:val="auto"/>
          <w:lang w:eastAsia="en-GB"/>
        </w:rPr>
        <w:t xml:space="preserve"> </w:t>
      </w:r>
    </w:p>
    <w:p w14:paraId="37DCB35F" w14:textId="544E5D43" w:rsidR="00C13BEF" w:rsidRPr="00161FFE" w:rsidRDefault="00F110C9" w:rsidP="0049320F">
      <w:pPr>
        <w:pStyle w:val="ListParagraph"/>
        <w:numPr>
          <w:ilvl w:val="0"/>
          <w:numId w:val="40"/>
        </w:numPr>
        <w:tabs>
          <w:tab w:val="left" w:pos="851"/>
          <w:tab w:val="left" w:pos="1418"/>
        </w:tabs>
        <w:spacing w:after="0"/>
        <w:rPr>
          <w:rFonts w:cs="Arial"/>
          <w:b/>
        </w:rPr>
      </w:pPr>
      <w:r w:rsidRPr="00161FFE">
        <w:rPr>
          <w:rFonts w:eastAsia="Cambria" w:cs="Arial"/>
          <w:color w:val="auto"/>
          <w:lang w:eastAsia="en-GB"/>
        </w:rPr>
        <w:t>There are currently 296</w:t>
      </w:r>
      <w:r w:rsidR="00C13BEF" w:rsidRPr="00161FFE">
        <w:rPr>
          <w:rFonts w:eastAsia="Cambria" w:cs="Arial"/>
          <w:color w:val="auto"/>
          <w:lang w:eastAsia="en-GB"/>
        </w:rPr>
        <w:t xml:space="preserve"> clients supported via this service.</w:t>
      </w:r>
    </w:p>
    <w:p w14:paraId="2EEFE1BE" w14:textId="77777777" w:rsidR="00C13BEF" w:rsidRPr="00161FFE" w:rsidRDefault="00C13BEF" w:rsidP="0049320F">
      <w:pPr>
        <w:tabs>
          <w:tab w:val="left" w:pos="851"/>
          <w:tab w:val="left" w:pos="1418"/>
        </w:tabs>
        <w:spacing w:after="0"/>
        <w:rPr>
          <w:rFonts w:cs="Arial"/>
          <w:b/>
        </w:rPr>
      </w:pPr>
    </w:p>
    <w:p w14:paraId="1DB788BE" w14:textId="3F61BB6B" w:rsidR="00A14A39" w:rsidRPr="00161FFE" w:rsidRDefault="00A14A39" w:rsidP="0049320F">
      <w:pPr>
        <w:tabs>
          <w:tab w:val="left" w:pos="851"/>
          <w:tab w:val="left" w:pos="1418"/>
        </w:tabs>
        <w:spacing w:after="0"/>
        <w:rPr>
          <w:rFonts w:cs="Arial"/>
          <w:b/>
        </w:rPr>
      </w:pPr>
      <w:r w:rsidRPr="00161FFE">
        <w:rPr>
          <w:rFonts w:cs="Arial"/>
          <w:b/>
        </w:rPr>
        <w:t>Mental Health – Nursing</w:t>
      </w:r>
    </w:p>
    <w:p w14:paraId="66631307" w14:textId="77777777" w:rsidR="00A14A39" w:rsidRPr="00161FFE" w:rsidRDefault="00A14A39" w:rsidP="0049320F">
      <w:pPr>
        <w:tabs>
          <w:tab w:val="left" w:pos="851"/>
          <w:tab w:val="left" w:pos="1418"/>
        </w:tabs>
        <w:spacing w:after="0"/>
        <w:rPr>
          <w:rFonts w:cs="Arial"/>
          <w:b/>
        </w:rPr>
      </w:pPr>
    </w:p>
    <w:p w14:paraId="235FD6F5" w14:textId="7C109621" w:rsidR="00A14A39" w:rsidRPr="00161FFE" w:rsidRDefault="00A14A39" w:rsidP="0049320F">
      <w:pPr>
        <w:pStyle w:val="ListParagraph"/>
        <w:numPr>
          <w:ilvl w:val="0"/>
          <w:numId w:val="40"/>
        </w:numPr>
        <w:tabs>
          <w:tab w:val="left" w:pos="851"/>
          <w:tab w:val="left" w:pos="1418"/>
        </w:tabs>
        <w:spacing w:after="0"/>
        <w:rPr>
          <w:rFonts w:cs="Arial"/>
        </w:rPr>
      </w:pPr>
      <w:r w:rsidRPr="00161FFE">
        <w:rPr>
          <w:rFonts w:cs="Arial"/>
        </w:rPr>
        <w:t>Mental Health Nursing is forecast to overspend by £1.006m</w:t>
      </w:r>
      <w:r w:rsidR="006D0B6F" w:rsidRPr="00161FFE">
        <w:rPr>
          <w:rFonts w:cs="Arial"/>
        </w:rPr>
        <w:t xml:space="preserve"> due</w:t>
      </w:r>
      <w:r w:rsidR="00D46DA7" w:rsidRPr="00161FFE">
        <w:rPr>
          <w:rFonts w:cs="Arial"/>
        </w:rPr>
        <w:t xml:space="preserve"> to</w:t>
      </w:r>
      <w:r w:rsidR="006D0B6F" w:rsidRPr="00161FFE">
        <w:rPr>
          <w:rFonts w:cs="Arial"/>
        </w:rPr>
        <w:t xml:space="preserve"> the average weekly package costs </w:t>
      </w:r>
      <w:r w:rsidR="00D46DA7" w:rsidRPr="00161FFE">
        <w:rPr>
          <w:rFonts w:cs="Arial"/>
        </w:rPr>
        <w:t>increasing at a rate higher</w:t>
      </w:r>
      <w:r w:rsidR="006D0B6F" w:rsidRPr="00161FFE">
        <w:rPr>
          <w:rFonts w:cs="Arial"/>
        </w:rPr>
        <w:t xml:space="preserve"> than budgeted for and the </w:t>
      </w:r>
      <w:r w:rsidR="00D46DA7" w:rsidRPr="00161FFE">
        <w:rPr>
          <w:rFonts w:cs="Arial"/>
        </w:rPr>
        <w:t xml:space="preserve">number of nursing placements not reducing in line with the </w:t>
      </w:r>
      <w:proofErr w:type="spellStart"/>
      <w:r w:rsidR="00D46DA7" w:rsidRPr="00161FFE">
        <w:rPr>
          <w:rFonts w:cs="Arial"/>
        </w:rPr>
        <w:t>asumptions</w:t>
      </w:r>
      <w:proofErr w:type="spellEnd"/>
      <w:r w:rsidR="00D46DA7" w:rsidRPr="00161FFE">
        <w:rPr>
          <w:rFonts w:cs="Arial"/>
        </w:rPr>
        <w:t xml:space="preserve"> built into the MTFS. </w:t>
      </w:r>
    </w:p>
    <w:p w14:paraId="68441B48" w14:textId="77777777" w:rsidR="00763EA4" w:rsidRPr="00161FFE" w:rsidRDefault="00763EA4" w:rsidP="0049320F">
      <w:pPr>
        <w:tabs>
          <w:tab w:val="left" w:pos="851"/>
          <w:tab w:val="left" w:pos="1418"/>
        </w:tabs>
        <w:spacing w:after="0"/>
        <w:rPr>
          <w:rFonts w:cs="Arial"/>
          <w:b/>
        </w:rPr>
      </w:pPr>
    </w:p>
    <w:p w14:paraId="2CEE91A1" w14:textId="77777777" w:rsidR="00763EA4" w:rsidRPr="00161FFE" w:rsidRDefault="00763EA4" w:rsidP="0049320F">
      <w:pPr>
        <w:tabs>
          <w:tab w:val="left" w:pos="851"/>
          <w:tab w:val="left" w:pos="1418"/>
        </w:tabs>
        <w:spacing w:after="0"/>
        <w:rPr>
          <w:rFonts w:cs="Arial"/>
          <w:b/>
        </w:rPr>
      </w:pPr>
      <w:r w:rsidRPr="00161FFE">
        <w:rPr>
          <w:rFonts w:cs="Arial"/>
          <w:b/>
        </w:rPr>
        <w:t>Mental Health - Home Care</w:t>
      </w:r>
    </w:p>
    <w:p w14:paraId="57558CCD" w14:textId="77777777" w:rsidR="00763EA4" w:rsidRPr="00161FFE" w:rsidRDefault="00763EA4" w:rsidP="0049320F">
      <w:pPr>
        <w:tabs>
          <w:tab w:val="left" w:pos="851"/>
          <w:tab w:val="left" w:pos="1418"/>
        </w:tabs>
        <w:spacing w:after="0"/>
        <w:rPr>
          <w:rFonts w:cs="Arial"/>
          <w:b/>
        </w:rPr>
      </w:pPr>
    </w:p>
    <w:p w14:paraId="080780F9" w14:textId="6E379652" w:rsidR="00763EA4" w:rsidRPr="00161FFE" w:rsidRDefault="00763EA4" w:rsidP="0049320F">
      <w:pPr>
        <w:pStyle w:val="ListParagraph"/>
        <w:numPr>
          <w:ilvl w:val="0"/>
          <w:numId w:val="40"/>
        </w:numPr>
        <w:tabs>
          <w:tab w:val="left" w:pos="851"/>
          <w:tab w:val="left" w:pos="1418"/>
        </w:tabs>
        <w:spacing w:after="0"/>
        <w:rPr>
          <w:rFonts w:cs="Arial"/>
          <w:b/>
        </w:rPr>
      </w:pPr>
      <w:r w:rsidRPr="00161FFE">
        <w:rPr>
          <w:rFonts w:cs="Arial"/>
        </w:rPr>
        <w:t>Mental Health Home Care services are forecast to underspend by £</w:t>
      </w:r>
      <w:r w:rsidR="00503D58" w:rsidRPr="00161FFE">
        <w:rPr>
          <w:rFonts w:cs="Arial"/>
        </w:rPr>
        <w:t>0.182</w:t>
      </w:r>
      <w:r w:rsidRPr="00161FFE">
        <w:rPr>
          <w:rFonts w:cs="Arial"/>
        </w:rPr>
        <w:t>m</w:t>
      </w:r>
    </w:p>
    <w:p w14:paraId="103908E5" w14:textId="0BC05EE5" w:rsidR="00763EA4" w:rsidRPr="00161FFE" w:rsidRDefault="00763EA4" w:rsidP="0049320F">
      <w:pPr>
        <w:pStyle w:val="ListParagraph"/>
        <w:numPr>
          <w:ilvl w:val="0"/>
          <w:numId w:val="40"/>
        </w:numPr>
        <w:spacing w:after="0"/>
        <w:rPr>
          <w:rFonts w:eastAsia="Cambria" w:cs="Arial"/>
          <w:color w:val="auto"/>
          <w:lang w:eastAsia="en-GB"/>
        </w:rPr>
      </w:pPr>
      <w:r w:rsidRPr="00161FFE">
        <w:rPr>
          <w:rFonts w:eastAsia="Cambria" w:cs="Arial"/>
          <w:color w:val="auto"/>
          <w:lang w:eastAsia="en-GB"/>
        </w:rPr>
        <w:t xml:space="preserve">In the year to date service user numbers have increased by </w:t>
      </w:r>
      <w:r w:rsidR="00F110C9" w:rsidRPr="00161FFE">
        <w:rPr>
          <w:rFonts w:eastAsia="Cambria" w:cs="Arial"/>
          <w:color w:val="auto"/>
          <w:lang w:eastAsia="en-GB"/>
        </w:rPr>
        <w:t xml:space="preserve">1.9% which is lower than </w:t>
      </w:r>
      <w:proofErr w:type="spellStart"/>
      <w:r w:rsidR="00F110C9" w:rsidRPr="00161FFE">
        <w:rPr>
          <w:rFonts w:eastAsia="Cambria" w:cs="Arial"/>
          <w:color w:val="auto"/>
          <w:lang w:eastAsia="en-GB"/>
        </w:rPr>
        <w:t>aniticpated</w:t>
      </w:r>
      <w:proofErr w:type="spellEnd"/>
      <w:r w:rsidR="00F110C9" w:rsidRPr="00161FFE">
        <w:rPr>
          <w:rFonts w:eastAsia="Cambria" w:cs="Arial"/>
          <w:color w:val="auto"/>
          <w:lang w:eastAsia="en-GB"/>
        </w:rPr>
        <w:t xml:space="preserve">. </w:t>
      </w:r>
    </w:p>
    <w:p w14:paraId="5814B19C" w14:textId="68319E69" w:rsidR="00763EA4" w:rsidRPr="00161FFE" w:rsidRDefault="00763EA4" w:rsidP="0049320F">
      <w:pPr>
        <w:pStyle w:val="ListParagraph"/>
        <w:numPr>
          <w:ilvl w:val="0"/>
          <w:numId w:val="40"/>
        </w:numPr>
        <w:spacing w:after="0"/>
        <w:rPr>
          <w:rFonts w:cs="Arial"/>
          <w:b/>
        </w:rPr>
      </w:pPr>
      <w:r w:rsidRPr="00161FFE">
        <w:rPr>
          <w:rFonts w:eastAsia="Cambria" w:cs="Arial"/>
          <w:color w:val="auto"/>
          <w:lang w:eastAsia="en-GB"/>
        </w:rPr>
        <w:t xml:space="preserve">Average care package costs </w:t>
      </w:r>
      <w:r w:rsidR="00F110C9" w:rsidRPr="00161FFE">
        <w:rPr>
          <w:rFonts w:eastAsia="Cambria" w:cs="Arial"/>
          <w:color w:val="auto"/>
          <w:lang w:eastAsia="en-GB"/>
        </w:rPr>
        <w:t xml:space="preserve">have </w:t>
      </w:r>
      <w:r w:rsidRPr="00161FFE">
        <w:rPr>
          <w:rFonts w:eastAsia="Cambria" w:cs="Arial"/>
          <w:color w:val="auto"/>
          <w:lang w:eastAsia="en-GB"/>
        </w:rPr>
        <w:t xml:space="preserve">increased by </w:t>
      </w:r>
      <w:r w:rsidR="00F110C9" w:rsidRPr="00161FFE">
        <w:rPr>
          <w:rFonts w:eastAsia="Cambria" w:cs="Arial"/>
          <w:color w:val="auto"/>
          <w:lang w:eastAsia="en-GB"/>
        </w:rPr>
        <w:t>1%</w:t>
      </w:r>
      <w:r w:rsidRPr="00161FFE">
        <w:rPr>
          <w:rFonts w:eastAsia="Cambria" w:cs="Arial"/>
          <w:color w:val="auto"/>
          <w:lang w:eastAsia="en-GB"/>
        </w:rPr>
        <w:t xml:space="preserve"> </w:t>
      </w:r>
      <w:r w:rsidR="00F110C9" w:rsidRPr="00161FFE">
        <w:rPr>
          <w:rFonts w:eastAsia="Cambria" w:cs="Arial"/>
          <w:color w:val="auto"/>
          <w:lang w:eastAsia="en-GB"/>
        </w:rPr>
        <w:t xml:space="preserve">in </w:t>
      </w:r>
      <w:r w:rsidR="00D46DA7" w:rsidRPr="00161FFE">
        <w:rPr>
          <w:rFonts w:eastAsia="Cambria" w:cs="Arial"/>
          <w:color w:val="auto"/>
          <w:lang w:eastAsia="en-GB"/>
        </w:rPr>
        <w:t xml:space="preserve">year, </w:t>
      </w:r>
      <w:r w:rsidR="00F110C9" w:rsidRPr="00161FFE">
        <w:rPr>
          <w:rFonts w:eastAsia="Cambria" w:cs="Arial"/>
          <w:color w:val="auto"/>
          <w:lang w:eastAsia="en-GB"/>
        </w:rPr>
        <w:t xml:space="preserve">which is </w:t>
      </w:r>
      <w:r w:rsidR="00D46DA7" w:rsidRPr="00161FFE">
        <w:rPr>
          <w:rFonts w:eastAsia="Cambria" w:cs="Arial"/>
          <w:color w:val="auto"/>
          <w:lang w:eastAsia="en-GB"/>
        </w:rPr>
        <w:t xml:space="preserve">also </w:t>
      </w:r>
      <w:r w:rsidR="00F110C9" w:rsidRPr="00161FFE">
        <w:rPr>
          <w:rFonts w:eastAsia="Cambria" w:cs="Arial"/>
          <w:color w:val="auto"/>
          <w:lang w:eastAsia="en-GB"/>
        </w:rPr>
        <w:t xml:space="preserve">lower </w:t>
      </w:r>
      <w:proofErr w:type="spellStart"/>
      <w:r w:rsidR="00F110C9" w:rsidRPr="00161FFE">
        <w:rPr>
          <w:rFonts w:eastAsia="Cambria" w:cs="Arial"/>
          <w:color w:val="auto"/>
          <w:lang w:eastAsia="en-GB"/>
        </w:rPr>
        <w:t>that</w:t>
      </w:r>
      <w:proofErr w:type="spellEnd"/>
      <w:r w:rsidR="00F110C9" w:rsidRPr="00161FFE">
        <w:rPr>
          <w:rFonts w:eastAsia="Cambria" w:cs="Arial"/>
          <w:color w:val="auto"/>
          <w:lang w:eastAsia="en-GB"/>
        </w:rPr>
        <w:t xml:space="preserve"> anticipated.</w:t>
      </w:r>
      <w:r w:rsidRPr="00161FFE">
        <w:rPr>
          <w:rFonts w:eastAsia="Cambria" w:cs="Arial"/>
          <w:color w:val="auto"/>
          <w:lang w:eastAsia="en-GB"/>
        </w:rPr>
        <w:t xml:space="preserve"> </w:t>
      </w:r>
    </w:p>
    <w:p w14:paraId="078D6794" w14:textId="77777777" w:rsidR="00431B9C" w:rsidRPr="00161FFE" w:rsidRDefault="00431B9C" w:rsidP="0049320F">
      <w:pPr>
        <w:tabs>
          <w:tab w:val="left" w:pos="851"/>
          <w:tab w:val="left" w:pos="1418"/>
        </w:tabs>
        <w:spacing w:after="0"/>
        <w:rPr>
          <w:rFonts w:cs="Arial"/>
          <w:b/>
        </w:rPr>
      </w:pPr>
    </w:p>
    <w:p w14:paraId="56CB6005" w14:textId="1FA46C69" w:rsidR="00431B9C" w:rsidRPr="00161FFE" w:rsidRDefault="00DE4B16" w:rsidP="0049320F">
      <w:pPr>
        <w:tabs>
          <w:tab w:val="left" w:pos="851"/>
          <w:tab w:val="left" w:pos="1418"/>
        </w:tabs>
        <w:spacing w:after="0"/>
        <w:rPr>
          <w:rFonts w:cs="Arial"/>
          <w:b/>
        </w:rPr>
      </w:pPr>
      <w:r w:rsidRPr="00161FFE">
        <w:rPr>
          <w:rFonts w:cs="Arial"/>
          <w:b/>
        </w:rPr>
        <w:t>3.1</w:t>
      </w:r>
      <w:r w:rsidR="00431B9C" w:rsidRPr="00161FFE">
        <w:rPr>
          <w:rFonts w:cs="Arial"/>
          <w:b/>
        </w:rPr>
        <w:t>.5</w:t>
      </w:r>
      <w:r w:rsidR="00431B9C" w:rsidRPr="00161FFE">
        <w:rPr>
          <w:rFonts w:cs="Arial"/>
          <w:b/>
        </w:rPr>
        <w:tab/>
        <w:t>Social Care Services (Adults)</w:t>
      </w:r>
    </w:p>
    <w:p w14:paraId="532F960D" w14:textId="77777777" w:rsidR="00431B9C" w:rsidRPr="00161FFE" w:rsidRDefault="00431B9C" w:rsidP="0049320F">
      <w:pPr>
        <w:tabs>
          <w:tab w:val="left" w:pos="851"/>
          <w:tab w:val="left" w:pos="1418"/>
        </w:tabs>
        <w:spacing w:after="0"/>
        <w:rPr>
          <w:rFonts w:cs="Arial"/>
        </w:rPr>
      </w:pPr>
    </w:p>
    <w:p w14:paraId="639C62B0" w14:textId="2D636F98" w:rsidR="00431B9C" w:rsidRPr="00161FFE" w:rsidRDefault="00431B9C" w:rsidP="0049320F">
      <w:pPr>
        <w:tabs>
          <w:tab w:val="left" w:pos="851"/>
          <w:tab w:val="left" w:pos="1418"/>
        </w:tabs>
        <w:spacing w:after="0"/>
        <w:rPr>
          <w:rFonts w:cs="Arial"/>
        </w:rPr>
      </w:pPr>
      <w:r w:rsidRPr="00161FFE">
        <w:rPr>
          <w:rFonts w:cs="Arial"/>
        </w:rPr>
        <w:t xml:space="preserve">Changes in statutory reporting requirements has meant the previous client groups of 'Older People' </w:t>
      </w:r>
      <w:r w:rsidR="00D46DA7" w:rsidRPr="00161FFE">
        <w:rPr>
          <w:rFonts w:cs="Arial"/>
        </w:rPr>
        <w:t>and 'Physical Disability' have b</w:t>
      </w:r>
      <w:r w:rsidRPr="00161FFE">
        <w:rPr>
          <w:rFonts w:cs="Arial"/>
        </w:rPr>
        <w:t>een combined to form the client group 'Physical Support'.</w:t>
      </w:r>
    </w:p>
    <w:p w14:paraId="0182DE58" w14:textId="77777777" w:rsidR="00431B9C" w:rsidRPr="00161FFE" w:rsidRDefault="00431B9C" w:rsidP="0049320F">
      <w:pPr>
        <w:tabs>
          <w:tab w:val="left" w:pos="851"/>
          <w:tab w:val="left" w:pos="1418"/>
        </w:tabs>
        <w:spacing w:after="0"/>
        <w:rPr>
          <w:rFonts w:cs="Arial"/>
        </w:rPr>
      </w:pPr>
    </w:p>
    <w:p w14:paraId="149898BC" w14:textId="59862047" w:rsidR="00431B9C" w:rsidRPr="00161FFE" w:rsidRDefault="00431B9C" w:rsidP="0049320F">
      <w:pPr>
        <w:tabs>
          <w:tab w:val="left" w:pos="851"/>
          <w:tab w:val="left" w:pos="1418"/>
        </w:tabs>
        <w:spacing w:after="0"/>
        <w:rPr>
          <w:rFonts w:cs="Arial"/>
        </w:rPr>
      </w:pPr>
      <w:r w:rsidRPr="00161FFE">
        <w:rPr>
          <w:rFonts w:cs="Arial"/>
        </w:rPr>
        <w:t xml:space="preserve">The total budget for this service area is £290.580m and is forecast to </w:t>
      </w:r>
      <w:r w:rsidR="00CE32FB" w:rsidRPr="00161FFE">
        <w:rPr>
          <w:rFonts w:cs="Arial"/>
        </w:rPr>
        <w:t>overspend</w:t>
      </w:r>
      <w:r w:rsidRPr="00161FFE">
        <w:rPr>
          <w:rFonts w:cs="Arial"/>
        </w:rPr>
        <w:t xml:space="preserve"> by £</w:t>
      </w:r>
      <w:r w:rsidR="006D0B6F" w:rsidRPr="00161FFE">
        <w:rPr>
          <w:rFonts w:cs="Arial"/>
        </w:rPr>
        <w:t>5.649</w:t>
      </w:r>
      <w:r w:rsidR="00CE32FB" w:rsidRPr="00161FFE">
        <w:rPr>
          <w:rFonts w:cs="Arial"/>
        </w:rPr>
        <w:t>m</w:t>
      </w:r>
      <w:r w:rsidRPr="00161FFE">
        <w:rPr>
          <w:rFonts w:cs="Arial"/>
        </w:rPr>
        <w:t>, at the end of quarter 1.</w:t>
      </w:r>
    </w:p>
    <w:p w14:paraId="3D2811B5" w14:textId="77777777" w:rsidR="00431B9C" w:rsidRPr="00161FFE" w:rsidRDefault="00431B9C" w:rsidP="0049320F">
      <w:pPr>
        <w:tabs>
          <w:tab w:val="left" w:pos="851"/>
          <w:tab w:val="left" w:pos="1418"/>
        </w:tabs>
        <w:spacing w:after="0"/>
        <w:rPr>
          <w:rFonts w:cs="Arial"/>
        </w:rPr>
      </w:pPr>
    </w:p>
    <w:p w14:paraId="453C0E94" w14:textId="058A528B" w:rsidR="00431B9C" w:rsidRPr="00161FFE" w:rsidRDefault="00431B9C" w:rsidP="0049320F">
      <w:pPr>
        <w:tabs>
          <w:tab w:val="left" w:pos="851"/>
          <w:tab w:val="left" w:pos="1418"/>
        </w:tabs>
        <w:spacing w:after="0"/>
        <w:rPr>
          <w:rFonts w:cs="Arial"/>
        </w:rPr>
      </w:pPr>
      <w:r w:rsidRPr="00161FFE">
        <w:rPr>
          <w:rFonts w:cs="Arial"/>
        </w:rPr>
        <w:t xml:space="preserve">The significant areas of </w:t>
      </w:r>
      <w:r w:rsidR="00C668A4" w:rsidRPr="00161FFE">
        <w:rPr>
          <w:rFonts w:cs="Arial"/>
        </w:rPr>
        <w:t xml:space="preserve">variance are detailed below. </w:t>
      </w:r>
      <w:r w:rsidRPr="00161FFE">
        <w:rPr>
          <w:rFonts w:cs="Arial"/>
        </w:rPr>
        <w:t xml:space="preserve">Additionally, there are also a number of other variances amounting to </w:t>
      </w:r>
      <w:proofErr w:type="gramStart"/>
      <w:r w:rsidR="00C668A4" w:rsidRPr="00161FFE">
        <w:rPr>
          <w:rFonts w:cs="Arial"/>
        </w:rPr>
        <w:t>an overspend</w:t>
      </w:r>
      <w:proofErr w:type="gramEnd"/>
      <w:r w:rsidR="00C668A4" w:rsidRPr="00161FFE">
        <w:rPr>
          <w:rFonts w:cs="Arial"/>
        </w:rPr>
        <w:t xml:space="preserve"> of </w:t>
      </w:r>
      <w:r w:rsidRPr="00161FFE">
        <w:rPr>
          <w:rFonts w:cs="Arial"/>
        </w:rPr>
        <w:t>£0.</w:t>
      </w:r>
      <w:r w:rsidR="00CE32FB" w:rsidRPr="00161FFE">
        <w:rPr>
          <w:rFonts w:cs="Arial"/>
        </w:rPr>
        <w:t>334</w:t>
      </w:r>
      <w:r w:rsidRPr="00161FFE">
        <w:rPr>
          <w:rFonts w:cs="Arial"/>
        </w:rPr>
        <w:t>m in total across other service areas including equipment and adaptations, reablement and carers.</w:t>
      </w:r>
    </w:p>
    <w:p w14:paraId="2C082061" w14:textId="77777777" w:rsidR="00431B9C" w:rsidRPr="00161FFE" w:rsidRDefault="00431B9C" w:rsidP="0049320F">
      <w:pPr>
        <w:tabs>
          <w:tab w:val="left" w:pos="851"/>
          <w:tab w:val="left" w:pos="1418"/>
        </w:tabs>
        <w:spacing w:after="0"/>
        <w:rPr>
          <w:rFonts w:cs="Arial"/>
        </w:rPr>
      </w:pPr>
    </w:p>
    <w:p w14:paraId="4ECEF032" w14:textId="3A1AFA4F" w:rsidR="00431B9C" w:rsidRPr="00161FFE" w:rsidRDefault="00431B9C" w:rsidP="0049320F">
      <w:pPr>
        <w:tabs>
          <w:tab w:val="left" w:pos="851"/>
          <w:tab w:val="left" w:pos="1418"/>
        </w:tabs>
        <w:spacing w:after="0"/>
        <w:rPr>
          <w:rFonts w:cs="Arial"/>
          <w:b/>
        </w:rPr>
      </w:pPr>
      <w:r w:rsidRPr="00161FFE">
        <w:rPr>
          <w:rFonts w:cs="Arial"/>
          <w:b/>
        </w:rPr>
        <w:t>Learning Disabilities</w:t>
      </w:r>
    </w:p>
    <w:p w14:paraId="73E18886" w14:textId="77777777" w:rsidR="00431B9C" w:rsidRPr="00161FFE" w:rsidRDefault="00431B9C" w:rsidP="0049320F">
      <w:pPr>
        <w:tabs>
          <w:tab w:val="left" w:pos="851"/>
          <w:tab w:val="left" w:pos="1418"/>
        </w:tabs>
        <w:spacing w:after="0"/>
        <w:rPr>
          <w:rFonts w:cs="Arial"/>
          <w:b/>
        </w:rPr>
      </w:pPr>
    </w:p>
    <w:p w14:paraId="2E3F7F22" w14:textId="598B5B9E" w:rsidR="00431B9C" w:rsidRPr="00161FFE" w:rsidRDefault="00431B9C" w:rsidP="0049320F">
      <w:pPr>
        <w:pStyle w:val="ListParagraph"/>
        <w:numPr>
          <w:ilvl w:val="0"/>
          <w:numId w:val="25"/>
        </w:numPr>
        <w:tabs>
          <w:tab w:val="left" w:pos="851"/>
          <w:tab w:val="left" w:pos="1418"/>
        </w:tabs>
        <w:spacing w:after="0"/>
        <w:ind w:left="851" w:hanging="851"/>
        <w:rPr>
          <w:rFonts w:cs="Arial"/>
          <w:color w:val="auto"/>
        </w:rPr>
      </w:pPr>
      <w:r w:rsidRPr="00161FFE">
        <w:rPr>
          <w:rFonts w:cs="Arial"/>
          <w:color w:val="auto"/>
        </w:rPr>
        <w:t xml:space="preserve">Learning Disability services include the provision of care services including residential and nursing care, but predominantly supported living and direct payments. Services are commissioned via a pooled fund arrangement with the six Lancashire CCGs. The LCC share of the service is </w:t>
      </w:r>
      <w:r w:rsidR="00CE32FB" w:rsidRPr="00161FFE">
        <w:rPr>
          <w:rFonts w:cs="Arial"/>
          <w:color w:val="auto"/>
        </w:rPr>
        <w:t>forecast to underspend by £5.160</w:t>
      </w:r>
      <w:r w:rsidRPr="00161FFE">
        <w:rPr>
          <w:rFonts w:cs="Arial"/>
          <w:color w:val="auto"/>
        </w:rPr>
        <w:t>m.</w:t>
      </w:r>
      <w:r w:rsidR="008A0A19" w:rsidRPr="00161FFE">
        <w:rPr>
          <w:rFonts w:cs="Arial"/>
          <w:color w:val="auto"/>
        </w:rPr>
        <w:t xml:space="preserve"> </w:t>
      </w:r>
    </w:p>
    <w:p w14:paraId="3B2CCAA8" w14:textId="5B7FD550" w:rsidR="008A0A19" w:rsidRPr="00161FFE" w:rsidRDefault="008A0A19" w:rsidP="0049320F">
      <w:pPr>
        <w:pStyle w:val="ListParagraph"/>
        <w:numPr>
          <w:ilvl w:val="0"/>
          <w:numId w:val="25"/>
        </w:numPr>
        <w:tabs>
          <w:tab w:val="left" w:pos="851"/>
          <w:tab w:val="left" w:pos="1418"/>
        </w:tabs>
        <w:spacing w:after="0"/>
        <w:ind w:left="851" w:hanging="851"/>
        <w:rPr>
          <w:rFonts w:cs="Arial"/>
        </w:rPr>
      </w:pPr>
      <w:r w:rsidRPr="00161FFE">
        <w:rPr>
          <w:rFonts w:cs="Arial"/>
        </w:rPr>
        <w:lastRenderedPageBreak/>
        <w:t xml:space="preserve">LCC </w:t>
      </w:r>
      <w:r w:rsidR="00D46DA7" w:rsidRPr="00161FFE">
        <w:rPr>
          <w:rFonts w:cs="Arial"/>
        </w:rPr>
        <w:t>agreed</w:t>
      </w:r>
      <w:r w:rsidRPr="00161FFE">
        <w:rPr>
          <w:rFonts w:cs="Arial"/>
        </w:rPr>
        <w:t xml:space="preserve"> significant additions (c£11.4m) to the </w:t>
      </w:r>
      <w:r w:rsidR="00D46DA7" w:rsidRPr="00161FFE">
        <w:rPr>
          <w:rFonts w:cs="Arial"/>
        </w:rPr>
        <w:t xml:space="preserve">2016/17 </w:t>
      </w:r>
      <w:r w:rsidRPr="00161FFE">
        <w:rPr>
          <w:rFonts w:cs="Arial"/>
        </w:rPr>
        <w:t xml:space="preserve">Learning Disability budget in relation to demand and inflation, however this has not yet </w:t>
      </w:r>
      <w:r w:rsidR="00D46DA7" w:rsidRPr="00161FFE">
        <w:rPr>
          <w:rFonts w:cs="Arial"/>
        </w:rPr>
        <w:t xml:space="preserve">fully </w:t>
      </w:r>
      <w:r w:rsidRPr="00161FFE">
        <w:rPr>
          <w:rFonts w:cs="Arial"/>
        </w:rPr>
        <w:t xml:space="preserve">materialised and therefore the service is </w:t>
      </w:r>
      <w:r w:rsidR="00D46DA7" w:rsidRPr="00161FFE">
        <w:rPr>
          <w:rFonts w:cs="Arial"/>
        </w:rPr>
        <w:t xml:space="preserve">forecast to </w:t>
      </w:r>
      <w:r w:rsidRPr="00161FFE">
        <w:rPr>
          <w:rFonts w:cs="Arial"/>
        </w:rPr>
        <w:t xml:space="preserve">underspend.  </w:t>
      </w:r>
    </w:p>
    <w:p w14:paraId="54FCF7F8" w14:textId="09B75042" w:rsidR="00431B9C" w:rsidRPr="00161FFE" w:rsidRDefault="00431B9C" w:rsidP="0049320F">
      <w:pPr>
        <w:pStyle w:val="ListParagraph"/>
        <w:numPr>
          <w:ilvl w:val="0"/>
          <w:numId w:val="25"/>
        </w:numPr>
        <w:tabs>
          <w:tab w:val="left" w:pos="851"/>
          <w:tab w:val="left" w:pos="1418"/>
        </w:tabs>
        <w:spacing w:after="0"/>
        <w:ind w:left="851" w:hanging="851"/>
        <w:rPr>
          <w:rFonts w:cs="Arial"/>
        </w:rPr>
      </w:pPr>
      <w:r w:rsidRPr="00161FFE">
        <w:rPr>
          <w:rFonts w:cs="Arial"/>
        </w:rPr>
        <w:t xml:space="preserve">Increases in service user activity are forecast to increase spending in 2016/17 by £2.000m this includes the impact of transitions from </w:t>
      </w:r>
      <w:r w:rsidR="00B931A6" w:rsidRPr="00161FFE">
        <w:rPr>
          <w:rFonts w:cs="Arial"/>
        </w:rPr>
        <w:t>Children's</w:t>
      </w:r>
      <w:r w:rsidRPr="00161FFE">
        <w:rPr>
          <w:rFonts w:cs="Arial"/>
        </w:rPr>
        <w:t xml:space="preserve"> services. </w:t>
      </w:r>
    </w:p>
    <w:p w14:paraId="07C1BCEA" w14:textId="460B656B" w:rsidR="00431B9C" w:rsidRPr="00161FFE" w:rsidRDefault="00431B9C" w:rsidP="0049320F">
      <w:pPr>
        <w:pStyle w:val="ListParagraph"/>
        <w:numPr>
          <w:ilvl w:val="0"/>
          <w:numId w:val="25"/>
        </w:numPr>
        <w:tabs>
          <w:tab w:val="left" w:pos="851"/>
          <w:tab w:val="left" w:pos="1418"/>
        </w:tabs>
        <w:spacing w:after="0"/>
        <w:ind w:left="851" w:hanging="851"/>
        <w:rPr>
          <w:rFonts w:cs="Arial"/>
        </w:rPr>
      </w:pPr>
      <w:r w:rsidRPr="00161FFE">
        <w:rPr>
          <w:rFonts w:cs="Arial"/>
        </w:rPr>
        <w:t xml:space="preserve">The forecast includes the impact of agreed fee increases for supported living and </w:t>
      </w:r>
      <w:r w:rsidR="00B931A6" w:rsidRPr="00161FFE">
        <w:rPr>
          <w:rFonts w:cs="Arial"/>
        </w:rPr>
        <w:t>domiciliary</w:t>
      </w:r>
      <w:r w:rsidRPr="00161FFE">
        <w:rPr>
          <w:rFonts w:cs="Arial"/>
        </w:rPr>
        <w:t xml:space="preserve"> care valued at £7.400m, </w:t>
      </w:r>
      <w:r w:rsidR="00E260DF" w:rsidRPr="00161FFE">
        <w:rPr>
          <w:rFonts w:cs="Arial"/>
        </w:rPr>
        <w:t>£3.500m of this has been</w:t>
      </w:r>
      <w:r w:rsidR="00D46DA7" w:rsidRPr="00161FFE">
        <w:rPr>
          <w:rFonts w:cs="Arial"/>
        </w:rPr>
        <w:t xml:space="preserve"> funded by reserves in 2016/17 as agreed </w:t>
      </w:r>
      <w:proofErr w:type="gramStart"/>
      <w:r w:rsidR="00D46DA7" w:rsidRPr="00161FFE">
        <w:rPr>
          <w:rFonts w:cs="Arial"/>
        </w:rPr>
        <w:t>with  the</w:t>
      </w:r>
      <w:proofErr w:type="gramEnd"/>
      <w:r w:rsidR="00D46DA7" w:rsidRPr="00161FFE">
        <w:rPr>
          <w:rFonts w:cs="Arial"/>
        </w:rPr>
        <w:t xml:space="preserve"> future impacts built into the MTFS. </w:t>
      </w:r>
    </w:p>
    <w:p w14:paraId="2E790BFD" w14:textId="77777777" w:rsidR="00431B9C" w:rsidRPr="00161FFE" w:rsidRDefault="00431B9C" w:rsidP="0049320F">
      <w:pPr>
        <w:pStyle w:val="ListParagraph"/>
        <w:numPr>
          <w:ilvl w:val="0"/>
          <w:numId w:val="25"/>
        </w:numPr>
        <w:tabs>
          <w:tab w:val="left" w:pos="851"/>
          <w:tab w:val="left" w:pos="1418"/>
        </w:tabs>
        <w:spacing w:after="0"/>
        <w:ind w:left="851" w:hanging="851"/>
        <w:rPr>
          <w:rFonts w:cs="Arial"/>
        </w:rPr>
      </w:pPr>
      <w:r w:rsidRPr="00161FFE">
        <w:rPr>
          <w:rFonts w:cs="Arial"/>
        </w:rPr>
        <w:t>The budget has been reduced by £1.000m to reflect the agreed savings relating to the remodelling packages of care, this saving is forecast on track to be achieved in year.</w:t>
      </w:r>
    </w:p>
    <w:p w14:paraId="74CDBE7A" w14:textId="77777777" w:rsidR="00431B9C" w:rsidRPr="00161FFE" w:rsidRDefault="00431B9C" w:rsidP="0049320F">
      <w:pPr>
        <w:tabs>
          <w:tab w:val="left" w:pos="851"/>
          <w:tab w:val="left" w:pos="1418"/>
        </w:tabs>
        <w:spacing w:after="0"/>
        <w:rPr>
          <w:rFonts w:cs="Arial"/>
          <w:b/>
        </w:rPr>
      </w:pPr>
    </w:p>
    <w:p w14:paraId="141138CC" w14:textId="38018503" w:rsidR="00431B9C" w:rsidRPr="00161FFE" w:rsidRDefault="00431B9C" w:rsidP="0049320F">
      <w:pPr>
        <w:tabs>
          <w:tab w:val="left" w:pos="851"/>
          <w:tab w:val="left" w:pos="1418"/>
        </w:tabs>
        <w:spacing w:after="0"/>
        <w:rPr>
          <w:rFonts w:cs="Arial"/>
          <w:b/>
        </w:rPr>
      </w:pPr>
      <w:r w:rsidRPr="00161FFE">
        <w:rPr>
          <w:rFonts w:cs="Arial"/>
          <w:b/>
        </w:rPr>
        <w:t>Physical Support</w:t>
      </w:r>
    </w:p>
    <w:p w14:paraId="03457BFE" w14:textId="77777777" w:rsidR="0064062F" w:rsidRPr="00161FFE" w:rsidRDefault="0064062F" w:rsidP="0049320F">
      <w:pPr>
        <w:tabs>
          <w:tab w:val="left" w:pos="851"/>
          <w:tab w:val="left" w:pos="1418"/>
        </w:tabs>
        <w:spacing w:after="0"/>
        <w:rPr>
          <w:rFonts w:cs="Arial"/>
          <w:b/>
        </w:rPr>
      </w:pPr>
    </w:p>
    <w:p w14:paraId="1BB273A7" w14:textId="7FEF5338" w:rsidR="0064062F" w:rsidRPr="00161FFE" w:rsidRDefault="0064062F" w:rsidP="0049320F">
      <w:pPr>
        <w:tabs>
          <w:tab w:val="left" w:pos="851"/>
          <w:tab w:val="left" w:pos="1418"/>
        </w:tabs>
        <w:spacing w:after="0"/>
        <w:rPr>
          <w:rFonts w:cs="Arial"/>
        </w:rPr>
      </w:pPr>
      <w:r w:rsidRPr="00161FFE">
        <w:rPr>
          <w:rFonts w:cs="Arial"/>
        </w:rPr>
        <w:t>The service is forecast to overspend by £1</w:t>
      </w:r>
      <w:r w:rsidR="00E260DF" w:rsidRPr="00161FFE">
        <w:rPr>
          <w:rFonts w:cs="Arial"/>
        </w:rPr>
        <w:t>1.4</w:t>
      </w:r>
      <w:r w:rsidR="00CE32FB" w:rsidRPr="00161FFE">
        <w:rPr>
          <w:rFonts w:cs="Arial"/>
        </w:rPr>
        <w:t>13</w:t>
      </w:r>
      <w:r w:rsidRPr="00161FFE">
        <w:rPr>
          <w:rFonts w:cs="Arial"/>
        </w:rPr>
        <w:t xml:space="preserve">m. This is as a result of delayed achievement of savings and slightly increased demand. </w:t>
      </w:r>
      <w:r w:rsidR="007E7408" w:rsidRPr="00161FFE">
        <w:rPr>
          <w:rFonts w:cs="Arial"/>
        </w:rPr>
        <w:t>This forecast also includes the drawdown of £1.700m from the Transitional Reserve to support an agreed uplift of residential and nu</w:t>
      </w:r>
      <w:r w:rsidR="00D46DA7" w:rsidRPr="00161FFE">
        <w:rPr>
          <w:rFonts w:cs="Arial"/>
        </w:rPr>
        <w:t xml:space="preserve">rsing home fees in 2016/17. The </w:t>
      </w:r>
      <w:proofErr w:type="spellStart"/>
      <w:r w:rsidR="00D46DA7" w:rsidRPr="00161FFE">
        <w:rPr>
          <w:rFonts w:cs="Arial"/>
        </w:rPr>
        <w:t>furture</w:t>
      </w:r>
      <w:proofErr w:type="spellEnd"/>
      <w:r w:rsidR="00D46DA7" w:rsidRPr="00161FFE">
        <w:rPr>
          <w:rFonts w:cs="Arial"/>
        </w:rPr>
        <w:t xml:space="preserve"> </w:t>
      </w:r>
      <w:proofErr w:type="gramStart"/>
      <w:r w:rsidR="00D46DA7" w:rsidRPr="00161FFE">
        <w:rPr>
          <w:rFonts w:cs="Arial"/>
        </w:rPr>
        <w:t>years</w:t>
      </w:r>
      <w:proofErr w:type="gramEnd"/>
      <w:r w:rsidR="00D46DA7" w:rsidRPr="00161FFE">
        <w:rPr>
          <w:rFonts w:cs="Arial"/>
        </w:rPr>
        <w:t xml:space="preserve"> impact above the level built into the current budget</w:t>
      </w:r>
      <w:r w:rsidR="007E7408" w:rsidRPr="00161FFE">
        <w:rPr>
          <w:rFonts w:cs="Arial"/>
        </w:rPr>
        <w:t xml:space="preserve"> has been built into the MTFS in future years. </w:t>
      </w:r>
    </w:p>
    <w:p w14:paraId="73BCA1EE" w14:textId="77777777" w:rsidR="00431B9C" w:rsidRPr="00161FFE" w:rsidRDefault="00431B9C" w:rsidP="0049320F">
      <w:pPr>
        <w:tabs>
          <w:tab w:val="left" w:pos="851"/>
          <w:tab w:val="left" w:pos="1418"/>
        </w:tabs>
        <w:spacing w:after="0"/>
        <w:rPr>
          <w:rFonts w:cs="Arial"/>
          <w:b/>
        </w:rPr>
      </w:pPr>
    </w:p>
    <w:p w14:paraId="269D0DAA" w14:textId="77777777" w:rsidR="00431B9C" w:rsidRPr="00161FFE" w:rsidRDefault="00431B9C" w:rsidP="0049320F">
      <w:pPr>
        <w:tabs>
          <w:tab w:val="left" w:pos="851"/>
          <w:tab w:val="left" w:pos="1418"/>
        </w:tabs>
        <w:spacing w:after="0"/>
        <w:rPr>
          <w:rFonts w:cs="Arial"/>
          <w:b/>
        </w:rPr>
      </w:pPr>
      <w:r w:rsidRPr="00161FFE">
        <w:rPr>
          <w:rFonts w:cs="Arial"/>
          <w:b/>
        </w:rPr>
        <w:t>Social Care Service Central Costs</w:t>
      </w:r>
    </w:p>
    <w:p w14:paraId="7222034E" w14:textId="77777777" w:rsidR="00431B9C" w:rsidRPr="00161FFE" w:rsidRDefault="00431B9C" w:rsidP="0049320F">
      <w:pPr>
        <w:tabs>
          <w:tab w:val="left" w:pos="851"/>
          <w:tab w:val="left" w:pos="1418"/>
        </w:tabs>
        <w:spacing w:after="0"/>
        <w:rPr>
          <w:rFonts w:cs="Arial"/>
          <w:b/>
        </w:rPr>
      </w:pPr>
    </w:p>
    <w:p w14:paraId="1DE5AB4B" w14:textId="789B92DA" w:rsidR="00431B9C" w:rsidRPr="00161FFE" w:rsidRDefault="00431B9C" w:rsidP="0049320F">
      <w:pPr>
        <w:pStyle w:val="ListParagraph"/>
        <w:numPr>
          <w:ilvl w:val="0"/>
          <w:numId w:val="26"/>
        </w:numPr>
        <w:tabs>
          <w:tab w:val="left" w:pos="851"/>
          <w:tab w:val="left" w:pos="1418"/>
        </w:tabs>
        <w:spacing w:after="0"/>
        <w:ind w:left="851" w:hanging="851"/>
        <w:rPr>
          <w:rFonts w:cs="Arial"/>
        </w:rPr>
      </w:pPr>
      <w:r w:rsidRPr="00161FFE">
        <w:rPr>
          <w:rFonts w:cs="Arial"/>
        </w:rPr>
        <w:t xml:space="preserve">This service is forecast to underspend by £0.631m through controlling costs </w:t>
      </w:r>
      <w:proofErr w:type="gramStart"/>
      <w:r w:rsidR="00D46DA7" w:rsidRPr="00161FFE">
        <w:rPr>
          <w:rFonts w:cs="Arial"/>
        </w:rPr>
        <w:t xml:space="preserve">on </w:t>
      </w:r>
      <w:r w:rsidRPr="00161FFE">
        <w:rPr>
          <w:rFonts w:cs="Arial"/>
        </w:rPr>
        <w:t xml:space="preserve"> non</w:t>
      </w:r>
      <w:proofErr w:type="gramEnd"/>
      <w:r w:rsidRPr="00161FFE">
        <w:rPr>
          <w:rFonts w:cs="Arial"/>
        </w:rPr>
        <w:t>-essential spending.</w:t>
      </w:r>
    </w:p>
    <w:p w14:paraId="7A203CF1" w14:textId="77777777" w:rsidR="00474349" w:rsidRPr="00161FFE" w:rsidRDefault="00474349" w:rsidP="0049320F">
      <w:pPr>
        <w:tabs>
          <w:tab w:val="left" w:pos="851"/>
          <w:tab w:val="left" w:pos="1418"/>
        </w:tabs>
        <w:spacing w:after="0"/>
        <w:rPr>
          <w:rFonts w:cs="Arial"/>
        </w:rPr>
      </w:pPr>
    </w:p>
    <w:p w14:paraId="0AE5DC78" w14:textId="52AA7D8E" w:rsidR="00474349" w:rsidRPr="00161FFE" w:rsidRDefault="00474349" w:rsidP="0049320F">
      <w:pPr>
        <w:tabs>
          <w:tab w:val="left" w:pos="851"/>
          <w:tab w:val="left" w:pos="1418"/>
        </w:tabs>
        <w:rPr>
          <w:rFonts w:eastAsiaTheme="minorHAnsi" w:cs="Arial"/>
          <w:color w:val="auto"/>
          <w:sz w:val="22"/>
          <w:szCs w:val="22"/>
        </w:rPr>
      </w:pPr>
      <w:r w:rsidRPr="00161FFE">
        <w:rPr>
          <w:rFonts w:cs="Arial"/>
        </w:rPr>
        <w:t xml:space="preserve">The </w:t>
      </w:r>
      <w:r w:rsidRPr="00161FFE">
        <w:rPr>
          <w:rFonts w:eastAsia="Times New Roman" w:cs="Arial"/>
          <w:lang w:eastAsia="en-GB"/>
        </w:rPr>
        <w:t>forecast for 2016/17 includes £6.644m</w:t>
      </w:r>
      <w:r w:rsidRPr="00161FFE">
        <w:rPr>
          <w:rFonts w:cs="Arial"/>
        </w:rPr>
        <w:t xml:space="preserve"> contributions from reserves, offsetting the expenditure in relation to the Newton's design work estimated at £2.000m and £4.644m for the agreed repayment of outstanding CCG monies held on their behalf.</w:t>
      </w:r>
    </w:p>
    <w:p w14:paraId="0EE91BB7" w14:textId="77777777" w:rsidR="00431B9C" w:rsidRPr="00161FFE" w:rsidRDefault="00431B9C" w:rsidP="0049320F">
      <w:pPr>
        <w:tabs>
          <w:tab w:val="left" w:pos="851"/>
          <w:tab w:val="left" w:pos="1418"/>
        </w:tabs>
        <w:spacing w:after="0"/>
        <w:rPr>
          <w:rFonts w:cs="Arial"/>
          <w:b/>
        </w:rPr>
      </w:pPr>
    </w:p>
    <w:p w14:paraId="1FD8E930" w14:textId="77777777" w:rsidR="00431B9C" w:rsidRPr="00161FFE" w:rsidRDefault="00431B9C" w:rsidP="0049320F">
      <w:pPr>
        <w:tabs>
          <w:tab w:val="left" w:pos="851"/>
          <w:tab w:val="left" w:pos="1418"/>
        </w:tabs>
        <w:spacing w:after="0"/>
        <w:rPr>
          <w:rFonts w:cs="Arial"/>
          <w:b/>
        </w:rPr>
      </w:pPr>
      <w:r w:rsidRPr="00161FFE">
        <w:rPr>
          <w:rFonts w:cs="Arial"/>
          <w:b/>
        </w:rPr>
        <w:t>Supporting People</w:t>
      </w:r>
    </w:p>
    <w:p w14:paraId="5F76A8A2" w14:textId="77777777" w:rsidR="00431B9C" w:rsidRPr="00161FFE" w:rsidRDefault="00431B9C" w:rsidP="0049320F">
      <w:pPr>
        <w:tabs>
          <w:tab w:val="left" w:pos="851"/>
          <w:tab w:val="left" w:pos="1418"/>
        </w:tabs>
        <w:spacing w:after="0"/>
        <w:rPr>
          <w:rFonts w:cs="Arial"/>
        </w:rPr>
      </w:pPr>
    </w:p>
    <w:p w14:paraId="663032A7" w14:textId="5F34E2D3" w:rsidR="00431B9C" w:rsidRPr="00161FFE" w:rsidRDefault="00431B9C" w:rsidP="0049320F">
      <w:pPr>
        <w:pStyle w:val="ListParagraph"/>
        <w:numPr>
          <w:ilvl w:val="0"/>
          <w:numId w:val="26"/>
        </w:numPr>
        <w:tabs>
          <w:tab w:val="left" w:pos="851"/>
          <w:tab w:val="left" w:pos="1418"/>
        </w:tabs>
        <w:spacing w:after="0"/>
        <w:ind w:left="851" w:hanging="851"/>
        <w:rPr>
          <w:rFonts w:cs="Arial"/>
        </w:rPr>
      </w:pPr>
      <w:r w:rsidRPr="00161FFE">
        <w:rPr>
          <w:rFonts w:cs="Arial"/>
        </w:rPr>
        <w:t>The remaining statutory service is currently forecast to underspend by £0.310m. A full assessment in conju</w:t>
      </w:r>
      <w:r w:rsidR="00B931A6" w:rsidRPr="00161FFE">
        <w:rPr>
          <w:rFonts w:cs="Arial"/>
        </w:rPr>
        <w:t>n</w:t>
      </w:r>
      <w:r w:rsidRPr="00161FFE">
        <w:rPr>
          <w:rFonts w:cs="Arial"/>
        </w:rPr>
        <w:t>ction with the service consultation is underway to review the ongoing budget requirement.</w:t>
      </w:r>
    </w:p>
    <w:p w14:paraId="62142EC5" w14:textId="77777777" w:rsidR="00431B9C" w:rsidRPr="00161FFE" w:rsidRDefault="00431B9C" w:rsidP="0049320F">
      <w:pPr>
        <w:tabs>
          <w:tab w:val="left" w:pos="851"/>
          <w:tab w:val="left" w:pos="1418"/>
        </w:tabs>
        <w:spacing w:after="0"/>
        <w:rPr>
          <w:rFonts w:cs="Arial"/>
        </w:rPr>
      </w:pPr>
    </w:p>
    <w:p w14:paraId="3B53304E" w14:textId="7D70FDB3" w:rsidR="00431B9C" w:rsidRPr="00161FFE" w:rsidRDefault="00431B9C" w:rsidP="0049320F">
      <w:pPr>
        <w:tabs>
          <w:tab w:val="left" w:pos="851"/>
          <w:tab w:val="left" w:pos="1418"/>
        </w:tabs>
        <w:spacing w:after="0"/>
        <w:rPr>
          <w:rFonts w:cs="Arial"/>
        </w:rPr>
      </w:pPr>
      <w:r w:rsidRPr="00161FFE">
        <w:rPr>
          <w:rFonts w:cs="Arial"/>
        </w:rPr>
        <w:t xml:space="preserve">The </w:t>
      </w:r>
      <w:r w:rsidRPr="00161FFE">
        <w:rPr>
          <w:rFonts w:eastAsia="Times New Roman" w:cs="Arial"/>
          <w:lang w:eastAsia="en-GB"/>
        </w:rPr>
        <w:t>forecast for 2016/17 includes £9.355m</w:t>
      </w:r>
      <w:r w:rsidRPr="00161FFE">
        <w:rPr>
          <w:rFonts w:cs="Arial"/>
        </w:rPr>
        <w:t xml:space="preserve"> contributions from reserves, for the continuation of the non-statutory services up to the end of March 2017 as per the agreed BOP 48 savings.</w:t>
      </w:r>
      <w:r w:rsidR="004B58F1" w:rsidRPr="00161FFE">
        <w:rPr>
          <w:rFonts w:cs="Arial"/>
        </w:rPr>
        <w:t xml:space="preserve"> It was originally anticipated and approved that £10.150m would be drawn down from reserves to support the </w:t>
      </w:r>
      <w:r w:rsidR="00B931A6" w:rsidRPr="00161FFE">
        <w:rPr>
          <w:rFonts w:cs="Arial"/>
        </w:rPr>
        <w:t>transitional</w:t>
      </w:r>
      <w:r w:rsidR="004B58F1" w:rsidRPr="00161FFE">
        <w:rPr>
          <w:rFonts w:cs="Arial"/>
        </w:rPr>
        <w:t xml:space="preserve"> arrangements of this budget opti</w:t>
      </w:r>
      <w:r w:rsidR="00DC1CAE" w:rsidRPr="00161FFE">
        <w:rPr>
          <w:rFonts w:cs="Arial"/>
        </w:rPr>
        <w:t>on however the reduced amount is</w:t>
      </w:r>
      <w:r w:rsidR="004B58F1" w:rsidRPr="00161FFE">
        <w:rPr>
          <w:rFonts w:cs="Arial"/>
        </w:rPr>
        <w:t xml:space="preserve"> required due to early delivery of savings. </w:t>
      </w:r>
    </w:p>
    <w:p w14:paraId="0170FA07" w14:textId="77777777" w:rsidR="00431B9C" w:rsidRDefault="00431B9C" w:rsidP="0049320F">
      <w:pPr>
        <w:rPr>
          <w:color w:val="1F497D"/>
        </w:rPr>
      </w:pPr>
    </w:p>
    <w:p w14:paraId="6634A247" w14:textId="77777777" w:rsidR="00431B9C" w:rsidRDefault="00431B9C" w:rsidP="0049320F">
      <w:pPr>
        <w:autoSpaceDE/>
        <w:autoSpaceDN/>
        <w:adjustRightInd/>
        <w:spacing w:after="0"/>
        <w:rPr>
          <w:rFonts w:cs="Arial"/>
        </w:rPr>
      </w:pPr>
      <w:r>
        <w:rPr>
          <w:rFonts w:cs="Arial"/>
        </w:rPr>
        <w:br w:type="page"/>
      </w:r>
    </w:p>
    <w:p w14:paraId="0C425F6E" w14:textId="77777777" w:rsidR="00431B9C" w:rsidRDefault="00431B9C" w:rsidP="0049320F">
      <w:pPr>
        <w:tabs>
          <w:tab w:val="left" w:pos="851"/>
          <w:tab w:val="left" w:pos="1418"/>
        </w:tabs>
        <w:spacing w:after="0"/>
        <w:rPr>
          <w:rFonts w:cs="Arial"/>
        </w:rPr>
      </w:pPr>
    </w:p>
    <w:p w14:paraId="379D0848" w14:textId="15EDE3F8" w:rsidR="00431B9C" w:rsidRPr="00DE4B16" w:rsidRDefault="00431B9C" w:rsidP="0049320F">
      <w:pPr>
        <w:autoSpaceDE/>
        <w:autoSpaceDN/>
        <w:adjustRightInd/>
        <w:spacing w:after="0"/>
        <w:rPr>
          <w:b/>
        </w:rPr>
      </w:pPr>
      <w:r w:rsidRPr="00877E90">
        <w:rPr>
          <w:b/>
        </w:rPr>
        <w:t>3.</w:t>
      </w:r>
      <w:r w:rsidR="00DE4B16">
        <w:rPr>
          <w:b/>
        </w:rPr>
        <w:t>2</w:t>
      </w:r>
      <w:r w:rsidRPr="00877E90">
        <w:rPr>
          <w:b/>
        </w:rPr>
        <w:tab/>
        <w:t>Operations and Delivery – Children's Services</w:t>
      </w:r>
    </w:p>
    <w:p w14:paraId="1E53876D" w14:textId="77777777" w:rsidR="00431B9C" w:rsidRPr="00DB204E" w:rsidRDefault="00431B9C" w:rsidP="0049320F">
      <w:pPr>
        <w:autoSpaceDE/>
        <w:autoSpaceDN/>
        <w:adjustRightInd/>
        <w:spacing w:after="0"/>
        <w:rPr>
          <w:rFonts w:cs="Arial"/>
          <w:sz w:val="20"/>
          <w:szCs w:val="20"/>
        </w:rPr>
      </w:pPr>
    </w:p>
    <w:tbl>
      <w:tblPr>
        <w:tblW w:w="9072" w:type="dxa"/>
        <w:tblLook w:val="04A0" w:firstRow="1" w:lastRow="0" w:firstColumn="1" w:lastColumn="0" w:noHBand="0" w:noVBand="1"/>
      </w:tblPr>
      <w:tblGrid>
        <w:gridCol w:w="777"/>
        <w:gridCol w:w="3954"/>
        <w:gridCol w:w="1447"/>
        <w:gridCol w:w="1447"/>
        <w:gridCol w:w="1447"/>
      </w:tblGrid>
      <w:tr w:rsidR="00431B9C" w:rsidRPr="00DB204E" w14:paraId="0D8A849F" w14:textId="77777777" w:rsidTr="00431B9C">
        <w:trPr>
          <w:trHeight w:val="1023"/>
        </w:trPr>
        <w:tc>
          <w:tcPr>
            <w:tcW w:w="777" w:type="dxa"/>
            <w:tcBorders>
              <w:top w:val="single" w:sz="4" w:space="0" w:color="auto"/>
              <w:left w:val="single" w:sz="4" w:space="0" w:color="auto"/>
              <w:bottom w:val="nil"/>
              <w:right w:val="single" w:sz="4" w:space="0" w:color="auto"/>
            </w:tcBorders>
            <w:shd w:val="clear" w:color="000000" w:fill="D9D9D9"/>
            <w:vAlign w:val="bottom"/>
            <w:hideMark/>
          </w:tcPr>
          <w:p w14:paraId="057F2F34" w14:textId="77777777" w:rsidR="00431B9C" w:rsidRPr="00DB204E" w:rsidRDefault="00431B9C" w:rsidP="0049320F">
            <w:pPr>
              <w:autoSpaceDE/>
              <w:autoSpaceDN/>
              <w:adjustRightInd/>
              <w:spacing w:after="0"/>
              <w:rPr>
                <w:rFonts w:eastAsia="Times New Roman" w:cs="Arial"/>
                <w:b/>
                <w:bCs/>
                <w:sz w:val="20"/>
                <w:szCs w:val="20"/>
                <w:lang w:eastAsia="en-GB"/>
              </w:rPr>
            </w:pPr>
            <w:r w:rsidRPr="00DB204E">
              <w:rPr>
                <w:rFonts w:eastAsia="Times New Roman" w:cs="Arial"/>
                <w:b/>
                <w:bCs/>
                <w:sz w:val="20"/>
                <w:szCs w:val="20"/>
                <w:lang w:eastAsia="en-GB"/>
              </w:rPr>
              <w:t>Ref</w:t>
            </w:r>
          </w:p>
        </w:tc>
        <w:tc>
          <w:tcPr>
            <w:tcW w:w="3954" w:type="dxa"/>
            <w:tcBorders>
              <w:top w:val="single" w:sz="4" w:space="0" w:color="auto"/>
              <w:left w:val="nil"/>
              <w:bottom w:val="nil"/>
              <w:right w:val="single" w:sz="4" w:space="0" w:color="auto"/>
            </w:tcBorders>
            <w:shd w:val="clear" w:color="000000" w:fill="D9D9D9"/>
            <w:vAlign w:val="bottom"/>
            <w:hideMark/>
          </w:tcPr>
          <w:p w14:paraId="7B427FC1" w14:textId="77777777" w:rsidR="00431B9C" w:rsidRPr="00DB204E" w:rsidRDefault="00431B9C" w:rsidP="0049320F">
            <w:pPr>
              <w:autoSpaceDE/>
              <w:autoSpaceDN/>
              <w:adjustRightInd/>
              <w:spacing w:after="0"/>
              <w:rPr>
                <w:rFonts w:eastAsia="Times New Roman" w:cs="Arial"/>
                <w:b/>
                <w:bCs/>
                <w:sz w:val="20"/>
                <w:szCs w:val="20"/>
                <w:lang w:eastAsia="en-GB"/>
              </w:rPr>
            </w:pPr>
            <w:r w:rsidRPr="00DB204E">
              <w:rPr>
                <w:rFonts w:eastAsia="Times New Roman" w:cs="Arial"/>
                <w:b/>
                <w:bCs/>
                <w:sz w:val="20"/>
                <w:szCs w:val="20"/>
                <w:lang w:eastAsia="en-GB"/>
              </w:rPr>
              <w:t>HEAD OF SERVICE</w:t>
            </w:r>
          </w:p>
        </w:tc>
        <w:tc>
          <w:tcPr>
            <w:tcW w:w="1447" w:type="dxa"/>
            <w:tcBorders>
              <w:top w:val="single" w:sz="4" w:space="0" w:color="auto"/>
              <w:left w:val="nil"/>
              <w:bottom w:val="nil"/>
              <w:right w:val="single" w:sz="4" w:space="0" w:color="auto"/>
            </w:tcBorders>
            <w:shd w:val="clear" w:color="000000" w:fill="D9D9D9"/>
            <w:vAlign w:val="bottom"/>
            <w:hideMark/>
          </w:tcPr>
          <w:p w14:paraId="412C1336" w14:textId="77777777" w:rsidR="00431B9C" w:rsidRPr="00DB204E" w:rsidRDefault="00431B9C" w:rsidP="0049320F">
            <w:pPr>
              <w:autoSpaceDE/>
              <w:autoSpaceDN/>
              <w:adjustRightInd/>
              <w:spacing w:after="0"/>
              <w:rPr>
                <w:rFonts w:eastAsia="Times New Roman" w:cs="Arial"/>
                <w:b/>
                <w:bCs/>
                <w:sz w:val="20"/>
                <w:szCs w:val="20"/>
                <w:lang w:eastAsia="en-GB"/>
              </w:rPr>
            </w:pPr>
            <w:r w:rsidRPr="00DB204E">
              <w:rPr>
                <w:rFonts w:eastAsia="Times New Roman" w:cs="Arial"/>
                <w:b/>
                <w:bCs/>
                <w:sz w:val="20"/>
                <w:szCs w:val="20"/>
                <w:lang w:eastAsia="en-GB"/>
              </w:rPr>
              <w:t>Approved Budget</w:t>
            </w:r>
          </w:p>
        </w:tc>
        <w:tc>
          <w:tcPr>
            <w:tcW w:w="1447" w:type="dxa"/>
            <w:tcBorders>
              <w:top w:val="single" w:sz="4" w:space="0" w:color="auto"/>
              <w:left w:val="nil"/>
              <w:bottom w:val="nil"/>
              <w:right w:val="single" w:sz="4" w:space="0" w:color="auto"/>
            </w:tcBorders>
            <w:shd w:val="clear" w:color="000000" w:fill="D9D9D9"/>
            <w:vAlign w:val="bottom"/>
            <w:hideMark/>
          </w:tcPr>
          <w:p w14:paraId="52E9E172" w14:textId="77777777" w:rsidR="00431B9C" w:rsidRPr="00DB204E" w:rsidRDefault="00431B9C" w:rsidP="0049320F">
            <w:pPr>
              <w:autoSpaceDE/>
              <w:autoSpaceDN/>
              <w:adjustRightInd/>
              <w:spacing w:after="0"/>
              <w:rPr>
                <w:rFonts w:eastAsia="Times New Roman" w:cs="Arial"/>
                <w:b/>
                <w:bCs/>
                <w:sz w:val="20"/>
                <w:szCs w:val="20"/>
                <w:lang w:eastAsia="en-GB"/>
              </w:rPr>
            </w:pPr>
            <w:r w:rsidRPr="00DB204E">
              <w:rPr>
                <w:rFonts w:eastAsia="Times New Roman" w:cs="Arial"/>
                <w:b/>
                <w:bCs/>
                <w:sz w:val="20"/>
                <w:szCs w:val="20"/>
                <w:lang w:eastAsia="en-GB"/>
              </w:rPr>
              <w:t>Current Period Forecast Outturn</w:t>
            </w:r>
          </w:p>
        </w:tc>
        <w:tc>
          <w:tcPr>
            <w:tcW w:w="1447" w:type="dxa"/>
            <w:tcBorders>
              <w:top w:val="single" w:sz="4" w:space="0" w:color="auto"/>
              <w:left w:val="nil"/>
              <w:bottom w:val="nil"/>
              <w:right w:val="single" w:sz="4" w:space="0" w:color="auto"/>
            </w:tcBorders>
            <w:shd w:val="clear" w:color="000000" w:fill="D9D9D9"/>
            <w:vAlign w:val="bottom"/>
            <w:hideMark/>
          </w:tcPr>
          <w:p w14:paraId="717AC2A7" w14:textId="77777777" w:rsidR="00431B9C" w:rsidRPr="00DB204E" w:rsidRDefault="00431B9C" w:rsidP="0049320F">
            <w:pPr>
              <w:autoSpaceDE/>
              <w:autoSpaceDN/>
              <w:adjustRightInd/>
              <w:spacing w:after="0"/>
              <w:rPr>
                <w:rFonts w:eastAsia="Times New Roman" w:cs="Arial"/>
                <w:b/>
                <w:bCs/>
                <w:sz w:val="20"/>
                <w:szCs w:val="20"/>
                <w:lang w:eastAsia="en-GB"/>
              </w:rPr>
            </w:pPr>
            <w:r w:rsidRPr="00DB204E">
              <w:rPr>
                <w:rFonts w:eastAsia="Times New Roman" w:cs="Arial"/>
                <w:b/>
                <w:bCs/>
                <w:sz w:val="20"/>
                <w:szCs w:val="20"/>
                <w:lang w:eastAsia="en-GB"/>
              </w:rPr>
              <w:t>Current Period Forecast Variance</w:t>
            </w:r>
          </w:p>
        </w:tc>
      </w:tr>
      <w:tr w:rsidR="00431B9C" w:rsidRPr="00DB204E" w14:paraId="015D98A8" w14:textId="77777777" w:rsidTr="00431B9C">
        <w:trPr>
          <w:trHeight w:val="255"/>
        </w:trPr>
        <w:tc>
          <w:tcPr>
            <w:tcW w:w="777" w:type="dxa"/>
            <w:tcBorders>
              <w:top w:val="nil"/>
              <w:left w:val="single" w:sz="4" w:space="0" w:color="auto"/>
              <w:bottom w:val="single" w:sz="4" w:space="0" w:color="auto"/>
              <w:right w:val="single" w:sz="4" w:space="0" w:color="auto"/>
            </w:tcBorders>
            <w:shd w:val="clear" w:color="000000" w:fill="D9D9D9"/>
            <w:vAlign w:val="bottom"/>
            <w:hideMark/>
          </w:tcPr>
          <w:p w14:paraId="160E764C" w14:textId="77777777" w:rsidR="00431B9C" w:rsidRPr="00DB204E" w:rsidRDefault="00431B9C" w:rsidP="0049320F">
            <w:pPr>
              <w:autoSpaceDE/>
              <w:autoSpaceDN/>
              <w:adjustRightInd/>
              <w:spacing w:after="0"/>
              <w:rPr>
                <w:rFonts w:eastAsia="Times New Roman" w:cs="Arial"/>
                <w:b/>
                <w:bCs/>
                <w:sz w:val="20"/>
                <w:szCs w:val="20"/>
                <w:lang w:eastAsia="en-GB"/>
              </w:rPr>
            </w:pPr>
            <w:r w:rsidRPr="00DB204E">
              <w:rPr>
                <w:rFonts w:eastAsia="Times New Roman" w:cs="Arial"/>
                <w:b/>
                <w:bCs/>
                <w:sz w:val="20"/>
                <w:szCs w:val="20"/>
                <w:lang w:eastAsia="en-GB"/>
              </w:rPr>
              <w:t> </w:t>
            </w:r>
          </w:p>
        </w:tc>
        <w:tc>
          <w:tcPr>
            <w:tcW w:w="3954" w:type="dxa"/>
            <w:tcBorders>
              <w:top w:val="nil"/>
              <w:left w:val="nil"/>
              <w:bottom w:val="single" w:sz="4" w:space="0" w:color="auto"/>
              <w:right w:val="single" w:sz="4" w:space="0" w:color="auto"/>
            </w:tcBorders>
            <w:shd w:val="clear" w:color="000000" w:fill="D9D9D9"/>
            <w:vAlign w:val="bottom"/>
            <w:hideMark/>
          </w:tcPr>
          <w:p w14:paraId="43DCED5E" w14:textId="77777777" w:rsidR="00431B9C" w:rsidRPr="00DB204E" w:rsidRDefault="00431B9C" w:rsidP="0049320F">
            <w:pPr>
              <w:autoSpaceDE/>
              <w:autoSpaceDN/>
              <w:adjustRightInd/>
              <w:spacing w:after="0"/>
              <w:rPr>
                <w:rFonts w:eastAsia="Times New Roman" w:cs="Arial"/>
                <w:b/>
                <w:bCs/>
                <w:sz w:val="20"/>
                <w:szCs w:val="20"/>
                <w:lang w:eastAsia="en-GB"/>
              </w:rPr>
            </w:pPr>
            <w:r w:rsidRPr="00DB204E">
              <w:rPr>
                <w:rFonts w:eastAsia="Times New Roman" w:cs="Arial"/>
                <w:b/>
                <w:bCs/>
                <w:sz w:val="20"/>
                <w:szCs w:val="20"/>
                <w:lang w:eastAsia="en-GB"/>
              </w:rPr>
              <w:t> </w:t>
            </w:r>
          </w:p>
        </w:tc>
        <w:tc>
          <w:tcPr>
            <w:tcW w:w="1447" w:type="dxa"/>
            <w:tcBorders>
              <w:top w:val="nil"/>
              <w:left w:val="nil"/>
              <w:bottom w:val="single" w:sz="4" w:space="0" w:color="auto"/>
              <w:right w:val="single" w:sz="4" w:space="0" w:color="auto"/>
            </w:tcBorders>
            <w:shd w:val="clear" w:color="000000" w:fill="D9D9D9"/>
            <w:vAlign w:val="bottom"/>
            <w:hideMark/>
          </w:tcPr>
          <w:p w14:paraId="0D8B0BFD" w14:textId="77777777" w:rsidR="00431B9C" w:rsidRPr="00DB204E" w:rsidRDefault="00431B9C" w:rsidP="0049320F">
            <w:pPr>
              <w:autoSpaceDE/>
              <w:autoSpaceDN/>
              <w:adjustRightInd/>
              <w:spacing w:after="0"/>
              <w:rPr>
                <w:rFonts w:eastAsia="Times New Roman" w:cs="Arial"/>
                <w:b/>
                <w:bCs/>
                <w:sz w:val="20"/>
                <w:szCs w:val="20"/>
                <w:lang w:eastAsia="en-GB"/>
              </w:rPr>
            </w:pPr>
            <w:r w:rsidRPr="00DB204E">
              <w:rPr>
                <w:rFonts w:eastAsia="Times New Roman" w:cs="Arial"/>
                <w:b/>
                <w:bCs/>
                <w:sz w:val="20"/>
                <w:szCs w:val="20"/>
                <w:lang w:eastAsia="en-GB"/>
              </w:rPr>
              <w:t>£m</w:t>
            </w:r>
          </w:p>
        </w:tc>
        <w:tc>
          <w:tcPr>
            <w:tcW w:w="1447" w:type="dxa"/>
            <w:tcBorders>
              <w:top w:val="nil"/>
              <w:left w:val="nil"/>
              <w:bottom w:val="single" w:sz="4" w:space="0" w:color="auto"/>
              <w:right w:val="single" w:sz="4" w:space="0" w:color="auto"/>
            </w:tcBorders>
            <w:shd w:val="clear" w:color="000000" w:fill="D9D9D9"/>
            <w:vAlign w:val="bottom"/>
            <w:hideMark/>
          </w:tcPr>
          <w:p w14:paraId="2A579E69" w14:textId="77777777" w:rsidR="00431B9C" w:rsidRPr="00DB204E" w:rsidRDefault="00431B9C" w:rsidP="0049320F">
            <w:pPr>
              <w:autoSpaceDE/>
              <w:autoSpaceDN/>
              <w:adjustRightInd/>
              <w:spacing w:after="0"/>
              <w:rPr>
                <w:rFonts w:eastAsia="Times New Roman" w:cs="Arial"/>
                <w:b/>
                <w:bCs/>
                <w:sz w:val="20"/>
                <w:szCs w:val="20"/>
                <w:lang w:eastAsia="en-GB"/>
              </w:rPr>
            </w:pPr>
            <w:r w:rsidRPr="00DB204E">
              <w:rPr>
                <w:rFonts w:eastAsia="Times New Roman" w:cs="Arial"/>
                <w:b/>
                <w:bCs/>
                <w:sz w:val="20"/>
                <w:szCs w:val="20"/>
                <w:lang w:eastAsia="en-GB"/>
              </w:rPr>
              <w:t>£m</w:t>
            </w:r>
          </w:p>
        </w:tc>
        <w:tc>
          <w:tcPr>
            <w:tcW w:w="1447" w:type="dxa"/>
            <w:tcBorders>
              <w:top w:val="nil"/>
              <w:left w:val="nil"/>
              <w:bottom w:val="single" w:sz="4" w:space="0" w:color="auto"/>
              <w:right w:val="single" w:sz="4" w:space="0" w:color="auto"/>
            </w:tcBorders>
            <w:shd w:val="clear" w:color="000000" w:fill="D9D9D9"/>
            <w:vAlign w:val="bottom"/>
            <w:hideMark/>
          </w:tcPr>
          <w:p w14:paraId="7E64F024" w14:textId="77777777" w:rsidR="00431B9C" w:rsidRPr="00DB204E" w:rsidRDefault="00431B9C" w:rsidP="0049320F">
            <w:pPr>
              <w:autoSpaceDE/>
              <w:autoSpaceDN/>
              <w:adjustRightInd/>
              <w:spacing w:after="0"/>
              <w:rPr>
                <w:rFonts w:eastAsia="Times New Roman" w:cs="Arial"/>
                <w:b/>
                <w:bCs/>
                <w:sz w:val="20"/>
                <w:szCs w:val="20"/>
                <w:lang w:eastAsia="en-GB"/>
              </w:rPr>
            </w:pPr>
            <w:r w:rsidRPr="00DB204E">
              <w:rPr>
                <w:rFonts w:eastAsia="Times New Roman" w:cs="Arial"/>
                <w:b/>
                <w:bCs/>
                <w:sz w:val="20"/>
                <w:szCs w:val="20"/>
                <w:lang w:eastAsia="en-GB"/>
              </w:rPr>
              <w:t>£m</w:t>
            </w:r>
          </w:p>
        </w:tc>
      </w:tr>
      <w:tr w:rsidR="00431B9C" w:rsidRPr="00DB204E" w14:paraId="643CE231" w14:textId="77777777" w:rsidTr="00CF5D35">
        <w:trPr>
          <w:trHeight w:val="255"/>
        </w:trPr>
        <w:tc>
          <w:tcPr>
            <w:tcW w:w="777" w:type="dxa"/>
            <w:tcBorders>
              <w:top w:val="nil"/>
              <w:left w:val="single" w:sz="4" w:space="0" w:color="auto"/>
              <w:bottom w:val="single" w:sz="4" w:space="0" w:color="auto"/>
              <w:right w:val="single" w:sz="4" w:space="0" w:color="auto"/>
            </w:tcBorders>
            <w:shd w:val="clear" w:color="000000" w:fill="FFFFFF"/>
            <w:noWrap/>
            <w:hideMark/>
          </w:tcPr>
          <w:p w14:paraId="7EB61701" w14:textId="1CAD77B6" w:rsidR="00431B9C" w:rsidRPr="00DB204E" w:rsidRDefault="00431B9C" w:rsidP="0049320F">
            <w:pPr>
              <w:autoSpaceDE/>
              <w:autoSpaceDN/>
              <w:adjustRightInd/>
              <w:spacing w:after="0"/>
              <w:rPr>
                <w:rFonts w:eastAsia="Times New Roman" w:cs="Arial"/>
                <w:b/>
                <w:bCs/>
                <w:sz w:val="20"/>
                <w:szCs w:val="20"/>
                <w:lang w:eastAsia="en-GB"/>
              </w:rPr>
            </w:pPr>
            <w:r w:rsidRPr="00DB204E">
              <w:rPr>
                <w:rFonts w:eastAsia="Times New Roman" w:cs="Arial"/>
                <w:b/>
                <w:bCs/>
                <w:sz w:val="20"/>
                <w:szCs w:val="20"/>
                <w:lang w:eastAsia="en-GB"/>
              </w:rPr>
              <w:t>3.</w:t>
            </w:r>
            <w:r w:rsidR="00DE4B16">
              <w:rPr>
                <w:rFonts w:eastAsia="Times New Roman" w:cs="Arial"/>
                <w:b/>
                <w:bCs/>
                <w:sz w:val="20"/>
                <w:szCs w:val="20"/>
                <w:lang w:eastAsia="en-GB"/>
              </w:rPr>
              <w:t>2</w:t>
            </w:r>
            <w:r w:rsidRPr="00DB204E">
              <w:rPr>
                <w:rFonts w:eastAsia="Times New Roman" w:cs="Arial"/>
                <w:b/>
                <w:bCs/>
                <w:sz w:val="20"/>
                <w:szCs w:val="20"/>
                <w:lang w:eastAsia="en-GB"/>
              </w:rPr>
              <w:t>.1</w:t>
            </w:r>
          </w:p>
        </w:tc>
        <w:tc>
          <w:tcPr>
            <w:tcW w:w="3954" w:type="dxa"/>
            <w:tcBorders>
              <w:top w:val="nil"/>
              <w:left w:val="nil"/>
              <w:bottom w:val="single" w:sz="4" w:space="0" w:color="auto"/>
              <w:right w:val="single" w:sz="4" w:space="0" w:color="auto"/>
            </w:tcBorders>
            <w:shd w:val="clear" w:color="000000" w:fill="FFFFFF"/>
            <w:hideMark/>
          </w:tcPr>
          <w:p w14:paraId="2A9D877D" w14:textId="77777777" w:rsidR="00431B9C" w:rsidRPr="00DB204E" w:rsidRDefault="00431B9C" w:rsidP="0049320F">
            <w:pPr>
              <w:autoSpaceDE/>
              <w:autoSpaceDN/>
              <w:adjustRightInd/>
              <w:spacing w:after="0"/>
              <w:rPr>
                <w:rFonts w:eastAsia="Times New Roman" w:cs="Arial"/>
                <w:sz w:val="20"/>
                <w:szCs w:val="20"/>
                <w:lang w:eastAsia="en-GB"/>
              </w:rPr>
            </w:pPr>
            <w:r w:rsidRPr="00DB204E">
              <w:rPr>
                <w:rFonts w:cs="Arial"/>
                <w:sz w:val="20"/>
                <w:szCs w:val="20"/>
              </w:rPr>
              <w:t>CHILDREN'S SERVICES</w:t>
            </w:r>
          </w:p>
        </w:tc>
        <w:tc>
          <w:tcPr>
            <w:tcW w:w="1447" w:type="dxa"/>
            <w:tcBorders>
              <w:top w:val="nil"/>
              <w:left w:val="nil"/>
              <w:bottom w:val="single" w:sz="4" w:space="0" w:color="auto"/>
              <w:right w:val="single" w:sz="4" w:space="0" w:color="auto"/>
            </w:tcBorders>
            <w:shd w:val="clear" w:color="000000" w:fill="FFFFFF"/>
            <w:hideMark/>
          </w:tcPr>
          <w:p w14:paraId="78638AAB" w14:textId="543ADBEB" w:rsidR="00431B9C" w:rsidRPr="00DB204E" w:rsidRDefault="00431B9C" w:rsidP="0049320F">
            <w:pPr>
              <w:autoSpaceDE/>
              <w:autoSpaceDN/>
              <w:adjustRightInd/>
              <w:spacing w:after="0"/>
              <w:rPr>
                <w:rFonts w:eastAsia="Times New Roman" w:cs="Arial"/>
                <w:sz w:val="20"/>
                <w:szCs w:val="20"/>
                <w:lang w:eastAsia="en-GB"/>
              </w:rPr>
            </w:pPr>
            <w:r w:rsidRPr="00DB204E">
              <w:rPr>
                <w:rFonts w:cs="Arial"/>
                <w:sz w:val="20"/>
                <w:szCs w:val="20"/>
              </w:rPr>
              <w:t>-0.</w:t>
            </w:r>
            <w:r w:rsidR="00CF5D35">
              <w:rPr>
                <w:rFonts w:cs="Arial"/>
                <w:sz w:val="20"/>
                <w:szCs w:val="20"/>
              </w:rPr>
              <w:t>623</w:t>
            </w:r>
            <w:r w:rsidRPr="00DB204E">
              <w:rPr>
                <w:rFonts w:cs="Arial"/>
                <w:sz w:val="20"/>
                <w:szCs w:val="20"/>
              </w:rPr>
              <w:t xml:space="preserve"> </w:t>
            </w:r>
          </w:p>
        </w:tc>
        <w:tc>
          <w:tcPr>
            <w:tcW w:w="1447" w:type="dxa"/>
            <w:tcBorders>
              <w:top w:val="nil"/>
              <w:left w:val="nil"/>
              <w:bottom w:val="single" w:sz="4" w:space="0" w:color="auto"/>
              <w:right w:val="single" w:sz="4" w:space="0" w:color="auto"/>
            </w:tcBorders>
            <w:shd w:val="clear" w:color="000000" w:fill="FFFFFF"/>
            <w:hideMark/>
          </w:tcPr>
          <w:p w14:paraId="1DCBAE2C" w14:textId="29B7D651" w:rsidR="00431B9C" w:rsidRPr="00DB204E" w:rsidRDefault="00431B9C" w:rsidP="0049320F">
            <w:pPr>
              <w:autoSpaceDE/>
              <w:autoSpaceDN/>
              <w:adjustRightInd/>
              <w:spacing w:after="0"/>
              <w:rPr>
                <w:rFonts w:eastAsia="Times New Roman" w:cs="Arial"/>
                <w:sz w:val="20"/>
                <w:szCs w:val="20"/>
                <w:lang w:eastAsia="en-GB"/>
              </w:rPr>
            </w:pPr>
            <w:r w:rsidRPr="00DB204E">
              <w:rPr>
                <w:rFonts w:cs="Arial"/>
                <w:sz w:val="20"/>
                <w:szCs w:val="20"/>
              </w:rPr>
              <w:t>-0.</w:t>
            </w:r>
            <w:r w:rsidR="00CF5D35">
              <w:rPr>
                <w:rFonts w:cs="Arial"/>
                <w:sz w:val="20"/>
                <w:szCs w:val="20"/>
              </w:rPr>
              <w:t>622</w:t>
            </w:r>
          </w:p>
        </w:tc>
        <w:tc>
          <w:tcPr>
            <w:tcW w:w="1447" w:type="dxa"/>
            <w:tcBorders>
              <w:top w:val="nil"/>
              <w:left w:val="nil"/>
              <w:bottom w:val="single" w:sz="4" w:space="0" w:color="auto"/>
              <w:right w:val="single" w:sz="4" w:space="0" w:color="auto"/>
            </w:tcBorders>
            <w:shd w:val="clear" w:color="000000" w:fill="FFFFFF"/>
            <w:hideMark/>
          </w:tcPr>
          <w:p w14:paraId="29E57EC4" w14:textId="0CA59D86" w:rsidR="00431B9C" w:rsidRPr="00DB204E" w:rsidRDefault="00431B9C" w:rsidP="0049320F">
            <w:pPr>
              <w:autoSpaceDE/>
              <w:autoSpaceDN/>
              <w:adjustRightInd/>
              <w:spacing w:after="0"/>
              <w:rPr>
                <w:rFonts w:eastAsia="Times New Roman" w:cs="Arial"/>
                <w:sz w:val="20"/>
                <w:szCs w:val="20"/>
                <w:lang w:eastAsia="en-GB"/>
              </w:rPr>
            </w:pPr>
            <w:r w:rsidRPr="00DB204E">
              <w:rPr>
                <w:rFonts w:cs="Arial"/>
                <w:sz w:val="20"/>
                <w:szCs w:val="20"/>
              </w:rPr>
              <w:t>-0.00</w:t>
            </w:r>
            <w:r w:rsidR="00CF5D35">
              <w:rPr>
                <w:rFonts w:cs="Arial"/>
                <w:sz w:val="20"/>
                <w:szCs w:val="20"/>
              </w:rPr>
              <w:t>1</w:t>
            </w:r>
          </w:p>
        </w:tc>
      </w:tr>
      <w:tr w:rsidR="00431B9C" w:rsidRPr="00DB204E" w14:paraId="2A120F2C" w14:textId="77777777" w:rsidTr="00431B9C">
        <w:trPr>
          <w:trHeight w:val="255"/>
        </w:trPr>
        <w:tc>
          <w:tcPr>
            <w:tcW w:w="777" w:type="dxa"/>
            <w:tcBorders>
              <w:top w:val="nil"/>
              <w:left w:val="single" w:sz="4" w:space="0" w:color="auto"/>
              <w:bottom w:val="single" w:sz="4" w:space="0" w:color="auto"/>
              <w:right w:val="single" w:sz="4" w:space="0" w:color="auto"/>
            </w:tcBorders>
            <w:shd w:val="clear" w:color="000000" w:fill="FFFFFF"/>
            <w:noWrap/>
            <w:hideMark/>
          </w:tcPr>
          <w:p w14:paraId="4B954EC9" w14:textId="55912796" w:rsidR="00431B9C" w:rsidRPr="00DB204E" w:rsidRDefault="00DE4B16" w:rsidP="0049320F">
            <w:pPr>
              <w:autoSpaceDE/>
              <w:autoSpaceDN/>
              <w:adjustRightInd/>
              <w:spacing w:after="0"/>
              <w:rPr>
                <w:rFonts w:eastAsia="Times New Roman" w:cs="Arial"/>
                <w:b/>
                <w:bCs/>
                <w:sz w:val="20"/>
                <w:szCs w:val="20"/>
                <w:lang w:eastAsia="en-GB"/>
              </w:rPr>
            </w:pPr>
            <w:r>
              <w:rPr>
                <w:rFonts w:eastAsia="Times New Roman" w:cs="Arial"/>
                <w:b/>
                <w:bCs/>
                <w:sz w:val="20"/>
                <w:szCs w:val="20"/>
                <w:lang w:eastAsia="en-GB"/>
              </w:rPr>
              <w:t>3.2</w:t>
            </w:r>
            <w:r w:rsidR="00CF5D35">
              <w:rPr>
                <w:rFonts w:eastAsia="Times New Roman" w:cs="Arial"/>
                <w:b/>
                <w:bCs/>
                <w:sz w:val="20"/>
                <w:szCs w:val="20"/>
                <w:lang w:eastAsia="en-GB"/>
              </w:rPr>
              <w:t>.2</w:t>
            </w:r>
          </w:p>
        </w:tc>
        <w:tc>
          <w:tcPr>
            <w:tcW w:w="3954" w:type="dxa"/>
            <w:tcBorders>
              <w:top w:val="nil"/>
              <w:left w:val="nil"/>
              <w:bottom w:val="single" w:sz="4" w:space="0" w:color="auto"/>
              <w:right w:val="single" w:sz="4" w:space="0" w:color="auto"/>
            </w:tcBorders>
            <w:shd w:val="clear" w:color="000000" w:fill="FFFFFF"/>
            <w:hideMark/>
          </w:tcPr>
          <w:p w14:paraId="39FC4412" w14:textId="77777777" w:rsidR="00431B9C" w:rsidRPr="00DB204E" w:rsidRDefault="00431B9C" w:rsidP="0049320F">
            <w:pPr>
              <w:autoSpaceDE/>
              <w:autoSpaceDN/>
              <w:adjustRightInd/>
              <w:spacing w:after="0"/>
              <w:rPr>
                <w:rFonts w:eastAsia="Times New Roman" w:cs="Arial"/>
                <w:sz w:val="20"/>
                <w:szCs w:val="20"/>
                <w:lang w:eastAsia="en-GB"/>
              </w:rPr>
            </w:pPr>
            <w:r w:rsidRPr="00DB204E">
              <w:rPr>
                <w:rFonts w:cs="Arial"/>
                <w:sz w:val="20"/>
                <w:szCs w:val="20"/>
              </w:rPr>
              <w:t>SEN &amp; DISABILITY</w:t>
            </w:r>
          </w:p>
        </w:tc>
        <w:tc>
          <w:tcPr>
            <w:tcW w:w="1447" w:type="dxa"/>
            <w:tcBorders>
              <w:top w:val="nil"/>
              <w:left w:val="nil"/>
              <w:bottom w:val="single" w:sz="4" w:space="0" w:color="auto"/>
              <w:right w:val="single" w:sz="4" w:space="0" w:color="auto"/>
            </w:tcBorders>
            <w:shd w:val="clear" w:color="000000" w:fill="FFFFFF"/>
            <w:hideMark/>
          </w:tcPr>
          <w:p w14:paraId="1DCC3238" w14:textId="77777777" w:rsidR="00431B9C" w:rsidRPr="00DB204E" w:rsidRDefault="00431B9C" w:rsidP="0049320F">
            <w:pPr>
              <w:autoSpaceDE/>
              <w:autoSpaceDN/>
              <w:adjustRightInd/>
              <w:spacing w:after="0"/>
              <w:rPr>
                <w:rFonts w:eastAsia="Times New Roman" w:cs="Arial"/>
                <w:sz w:val="20"/>
                <w:szCs w:val="20"/>
                <w:lang w:eastAsia="en-GB"/>
              </w:rPr>
            </w:pPr>
            <w:r w:rsidRPr="00DB204E">
              <w:rPr>
                <w:rFonts w:cs="Arial"/>
                <w:sz w:val="20"/>
                <w:szCs w:val="20"/>
              </w:rPr>
              <w:t xml:space="preserve">15.708 </w:t>
            </w:r>
          </w:p>
        </w:tc>
        <w:tc>
          <w:tcPr>
            <w:tcW w:w="1447" w:type="dxa"/>
            <w:tcBorders>
              <w:top w:val="nil"/>
              <w:left w:val="nil"/>
              <w:bottom w:val="single" w:sz="4" w:space="0" w:color="auto"/>
              <w:right w:val="single" w:sz="4" w:space="0" w:color="auto"/>
            </w:tcBorders>
            <w:shd w:val="clear" w:color="000000" w:fill="FFFFFF"/>
            <w:hideMark/>
          </w:tcPr>
          <w:p w14:paraId="3DAF535A" w14:textId="77777777" w:rsidR="00431B9C" w:rsidRPr="00DB204E" w:rsidRDefault="00431B9C" w:rsidP="0049320F">
            <w:pPr>
              <w:autoSpaceDE/>
              <w:autoSpaceDN/>
              <w:adjustRightInd/>
              <w:spacing w:after="0"/>
              <w:rPr>
                <w:rFonts w:eastAsia="Times New Roman" w:cs="Arial"/>
                <w:sz w:val="20"/>
                <w:szCs w:val="20"/>
                <w:lang w:eastAsia="en-GB"/>
              </w:rPr>
            </w:pPr>
            <w:r w:rsidRPr="00DB204E">
              <w:rPr>
                <w:rFonts w:cs="Arial"/>
                <w:sz w:val="20"/>
                <w:szCs w:val="20"/>
              </w:rPr>
              <w:t xml:space="preserve">14.861 </w:t>
            </w:r>
          </w:p>
        </w:tc>
        <w:tc>
          <w:tcPr>
            <w:tcW w:w="1447" w:type="dxa"/>
            <w:tcBorders>
              <w:top w:val="nil"/>
              <w:left w:val="nil"/>
              <w:bottom w:val="single" w:sz="4" w:space="0" w:color="auto"/>
              <w:right w:val="single" w:sz="4" w:space="0" w:color="auto"/>
            </w:tcBorders>
            <w:shd w:val="clear" w:color="000000" w:fill="FFFFFF"/>
            <w:hideMark/>
          </w:tcPr>
          <w:p w14:paraId="0A1D88B4" w14:textId="77777777" w:rsidR="00431B9C" w:rsidRPr="00DB204E" w:rsidRDefault="00431B9C" w:rsidP="0049320F">
            <w:pPr>
              <w:autoSpaceDE/>
              <w:autoSpaceDN/>
              <w:adjustRightInd/>
              <w:spacing w:after="0"/>
              <w:rPr>
                <w:rFonts w:eastAsia="Times New Roman" w:cs="Arial"/>
                <w:sz w:val="20"/>
                <w:szCs w:val="20"/>
                <w:lang w:eastAsia="en-GB"/>
              </w:rPr>
            </w:pPr>
            <w:r w:rsidRPr="00DB204E">
              <w:rPr>
                <w:rFonts w:cs="Arial"/>
                <w:sz w:val="20"/>
                <w:szCs w:val="20"/>
              </w:rPr>
              <w:t xml:space="preserve">-0.847 </w:t>
            </w:r>
          </w:p>
        </w:tc>
      </w:tr>
      <w:tr w:rsidR="00431B9C" w:rsidRPr="00DB204E" w14:paraId="2DB86630" w14:textId="77777777" w:rsidTr="00431B9C">
        <w:trPr>
          <w:trHeight w:val="255"/>
        </w:trPr>
        <w:tc>
          <w:tcPr>
            <w:tcW w:w="777" w:type="dxa"/>
            <w:tcBorders>
              <w:top w:val="nil"/>
              <w:left w:val="single" w:sz="4" w:space="0" w:color="auto"/>
              <w:bottom w:val="single" w:sz="4" w:space="0" w:color="auto"/>
              <w:right w:val="single" w:sz="4" w:space="0" w:color="auto"/>
            </w:tcBorders>
            <w:shd w:val="clear" w:color="000000" w:fill="FFFFFF"/>
            <w:noWrap/>
          </w:tcPr>
          <w:p w14:paraId="11DCE427" w14:textId="5CFC2A58" w:rsidR="00431B9C" w:rsidRPr="00DB204E" w:rsidRDefault="00CF5D35" w:rsidP="0049320F">
            <w:pPr>
              <w:autoSpaceDE/>
              <w:autoSpaceDN/>
              <w:adjustRightInd/>
              <w:spacing w:after="0"/>
              <w:rPr>
                <w:rFonts w:eastAsia="Times New Roman" w:cs="Arial"/>
                <w:b/>
                <w:bCs/>
                <w:sz w:val="20"/>
                <w:szCs w:val="20"/>
                <w:lang w:eastAsia="en-GB"/>
              </w:rPr>
            </w:pPr>
            <w:r>
              <w:rPr>
                <w:rFonts w:eastAsia="Times New Roman" w:cs="Arial"/>
                <w:b/>
                <w:bCs/>
                <w:sz w:val="20"/>
                <w:szCs w:val="20"/>
                <w:lang w:eastAsia="en-GB"/>
              </w:rPr>
              <w:t>3.2.3</w:t>
            </w:r>
          </w:p>
        </w:tc>
        <w:tc>
          <w:tcPr>
            <w:tcW w:w="3954" w:type="dxa"/>
            <w:tcBorders>
              <w:top w:val="nil"/>
              <w:left w:val="nil"/>
              <w:bottom w:val="single" w:sz="4" w:space="0" w:color="auto"/>
              <w:right w:val="single" w:sz="4" w:space="0" w:color="auto"/>
            </w:tcBorders>
            <w:shd w:val="clear" w:color="000000" w:fill="FFFFFF"/>
          </w:tcPr>
          <w:p w14:paraId="6229657D" w14:textId="53C53812" w:rsidR="00431B9C" w:rsidRPr="00DB204E" w:rsidRDefault="00CF5D35" w:rsidP="0049320F">
            <w:pPr>
              <w:autoSpaceDE/>
              <w:autoSpaceDN/>
              <w:adjustRightInd/>
              <w:spacing w:after="0"/>
              <w:rPr>
                <w:rFonts w:cs="Arial"/>
                <w:sz w:val="20"/>
                <w:szCs w:val="20"/>
              </w:rPr>
            </w:pPr>
            <w:r w:rsidRPr="00DB204E">
              <w:rPr>
                <w:rFonts w:cs="Arial"/>
                <w:sz w:val="20"/>
                <w:szCs w:val="20"/>
              </w:rPr>
              <w:t>SAFEGUARDING INSPEC   &amp; AUDIT</w:t>
            </w:r>
          </w:p>
        </w:tc>
        <w:tc>
          <w:tcPr>
            <w:tcW w:w="1447" w:type="dxa"/>
            <w:tcBorders>
              <w:top w:val="nil"/>
              <w:left w:val="nil"/>
              <w:bottom w:val="single" w:sz="4" w:space="0" w:color="auto"/>
              <w:right w:val="single" w:sz="4" w:space="0" w:color="auto"/>
            </w:tcBorders>
            <w:shd w:val="clear" w:color="000000" w:fill="FFFFFF"/>
          </w:tcPr>
          <w:p w14:paraId="69274486" w14:textId="67744FCF" w:rsidR="00431B9C" w:rsidRPr="00DB204E" w:rsidRDefault="00CF5D35" w:rsidP="0049320F">
            <w:pPr>
              <w:autoSpaceDE/>
              <w:autoSpaceDN/>
              <w:adjustRightInd/>
              <w:spacing w:after="0"/>
              <w:rPr>
                <w:rFonts w:cs="Arial"/>
                <w:sz w:val="20"/>
                <w:szCs w:val="20"/>
              </w:rPr>
            </w:pPr>
            <w:r>
              <w:rPr>
                <w:rFonts w:cs="Arial"/>
                <w:sz w:val="20"/>
                <w:szCs w:val="20"/>
              </w:rPr>
              <w:t>9.347</w:t>
            </w:r>
          </w:p>
        </w:tc>
        <w:tc>
          <w:tcPr>
            <w:tcW w:w="1447" w:type="dxa"/>
            <w:tcBorders>
              <w:top w:val="nil"/>
              <w:left w:val="nil"/>
              <w:bottom w:val="single" w:sz="4" w:space="0" w:color="auto"/>
              <w:right w:val="single" w:sz="4" w:space="0" w:color="auto"/>
            </w:tcBorders>
            <w:shd w:val="clear" w:color="000000" w:fill="FFFFFF"/>
          </w:tcPr>
          <w:p w14:paraId="227CB9E6" w14:textId="7426A3DE" w:rsidR="00431B9C" w:rsidRPr="00DB204E" w:rsidRDefault="00CF5D35" w:rsidP="0049320F">
            <w:pPr>
              <w:autoSpaceDE/>
              <w:autoSpaceDN/>
              <w:adjustRightInd/>
              <w:spacing w:after="0"/>
              <w:rPr>
                <w:rFonts w:cs="Arial"/>
                <w:sz w:val="20"/>
                <w:szCs w:val="20"/>
              </w:rPr>
            </w:pPr>
            <w:r>
              <w:rPr>
                <w:rFonts w:cs="Arial"/>
                <w:sz w:val="20"/>
                <w:szCs w:val="20"/>
              </w:rPr>
              <w:t>7.459</w:t>
            </w:r>
          </w:p>
        </w:tc>
        <w:tc>
          <w:tcPr>
            <w:tcW w:w="1447" w:type="dxa"/>
            <w:tcBorders>
              <w:top w:val="nil"/>
              <w:left w:val="nil"/>
              <w:bottom w:val="single" w:sz="4" w:space="0" w:color="auto"/>
              <w:right w:val="single" w:sz="4" w:space="0" w:color="auto"/>
            </w:tcBorders>
            <w:shd w:val="clear" w:color="000000" w:fill="FFFFFF"/>
          </w:tcPr>
          <w:p w14:paraId="25F471A4" w14:textId="09697C87" w:rsidR="00431B9C" w:rsidRPr="00DB204E" w:rsidRDefault="00CF5D35" w:rsidP="0049320F">
            <w:pPr>
              <w:autoSpaceDE/>
              <w:autoSpaceDN/>
              <w:adjustRightInd/>
              <w:spacing w:after="0"/>
              <w:rPr>
                <w:rFonts w:cs="Arial"/>
                <w:sz w:val="20"/>
                <w:szCs w:val="20"/>
              </w:rPr>
            </w:pPr>
            <w:r>
              <w:rPr>
                <w:rFonts w:cs="Arial"/>
                <w:sz w:val="20"/>
                <w:szCs w:val="20"/>
              </w:rPr>
              <w:t>-1.888</w:t>
            </w:r>
          </w:p>
        </w:tc>
      </w:tr>
      <w:tr w:rsidR="00CF5D35" w:rsidRPr="00DB204E" w14:paraId="69FAFE56" w14:textId="77777777" w:rsidTr="00431B9C">
        <w:trPr>
          <w:trHeight w:val="255"/>
        </w:trPr>
        <w:tc>
          <w:tcPr>
            <w:tcW w:w="777" w:type="dxa"/>
            <w:tcBorders>
              <w:top w:val="nil"/>
              <w:left w:val="single" w:sz="4" w:space="0" w:color="auto"/>
              <w:bottom w:val="single" w:sz="4" w:space="0" w:color="auto"/>
              <w:right w:val="single" w:sz="4" w:space="0" w:color="auto"/>
            </w:tcBorders>
            <w:shd w:val="clear" w:color="000000" w:fill="FFFFFF"/>
            <w:noWrap/>
          </w:tcPr>
          <w:p w14:paraId="3F8FBCC9" w14:textId="4752B63B" w:rsidR="00CF5D35" w:rsidRPr="00DB204E" w:rsidRDefault="00CF5D35" w:rsidP="0049320F">
            <w:pPr>
              <w:autoSpaceDE/>
              <w:autoSpaceDN/>
              <w:adjustRightInd/>
              <w:spacing w:after="0"/>
              <w:rPr>
                <w:rFonts w:eastAsia="Times New Roman" w:cs="Arial"/>
                <w:b/>
                <w:bCs/>
                <w:sz w:val="20"/>
                <w:szCs w:val="20"/>
                <w:lang w:eastAsia="en-GB"/>
              </w:rPr>
            </w:pPr>
            <w:r>
              <w:rPr>
                <w:rFonts w:eastAsia="Times New Roman" w:cs="Arial"/>
                <w:b/>
                <w:bCs/>
                <w:sz w:val="20"/>
                <w:szCs w:val="20"/>
                <w:lang w:eastAsia="en-GB"/>
              </w:rPr>
              <w:t>3.2.4</w:t>
            </w:r>
          </w:p>
        </w:tc>
        <w:tc>
          <w:tcPr>
            <w:tcW w:w="3954" w:type="dxa"/>
            <w:tcBorders>
              <w:top w:val="nil"/>
              <w:left w:val="nil"/>
              <w:bottom w:val="single" w:sz="4" w:space="0" w:color="auto"/>
              <w:right w:val="single" w:sz="4" w:space="0" w:color="auto"/>
            </w:tcBorders>
            <w:shd w:val="clear" w:color="000000" w:fill="FFFFFF"/>
          </w:tcPr>
          <w:p w14:paraId="084A4922" w14:textId="23852E6C" w:rsidR="00CF5D35" w:rsidRPr="00DB204E" w:rsidRDefault="00CF5D35" w:rsidP="00E45ED5">
            <w:pPr>
              <w:autoSpaceDE/>
              <w:autoSpaceDN/>
              <w:adjustRightInd/>
              <w:spacing w:after="0"/>
              <w:jc w:val="left"/>
              <w:rPr>
                <w:rFonts w:cs="Arial"/>
                <w:sz w:val="20"/>
                <w:szCs w:val="20"/>
              </w:rPr>
            </w:pPr>
            <w:r w:rsidRPr="00DB204E">
              <w:rPr>
                <w:rFonts w:cs="Arial"/>
                <w:sz w:val="20"/>
                <w:szCs w:val="20"/>
              </w:rPr>
              <w:t>ADOPTION &amp; FOSTERING  RESIDENTIAL AND YOT</w:t>
            </w:r>
          </w:p>
        </w:tc>
        <w:tc>
          <w:tcPr>
            <w:tcW w:w="1447" w:type="dxa"/>
            <w:tcBorders>
              <w:top w:val="nil"/>
              <w:left w:val="nil"/>
              <w:bottom w:val="single" w:sz="4" w:space="0" w:color="auto"/>
              <w:right w:val="single" w:sz="4" w:space="0" w:color="auto"/>
            </w:tcBorders>
            <w:shd w:val="clear" w:color="000000" w:fill="FFFFFF"/>
          </w:tcPr>
          <w:p w14:paraId="24E45639" w14:textId="2EDB0AB4" w:rsidR="00CF5D35" w:rsidRPr="00DB204E" w:rsidRDefault="00CF5D35" w:rsidP="0049320F">
            <w:pPr>
              <w:autoSpaceDE/>
              <w:autoSpaceDN/>
              <w:adjustRightInd/>
              <w:spacing w:after="0"/>
              <w:rPr>
                <w:rFonts w:cs="Arial"/>
                <w:sz w:val="20"/>
                <w:szCs w:val="20"/>
              </w:rPr>
            </w:pPr>
            <w:r>
              <w:rPr>
                <w:rFonts w:cs="Arial"/>
                <w:sz w:val="20"/>
                <w:szCs w:val="20"/>
              </w:rPr>
              <w:t>26.090</w:t>
            </w:r>
          </w:p>
        </w:tc>
        <w:tc>
          <w:tcPr>
            <w:tcW w:w="1447" w:type="dxa"/>
            <w:tcBorders>
              <w:top w:val="nil"/>
              <w:left w:val="nil"/>
              <w:bottom w:val="single" w:sz="4" w:space="0" w:color="auto"/>
              <w:right w:val="single" w:sz="4" w:space="0" w:color="auto"/>
            </w:tcBorders>
            <w:shd w:val="clear" w:color="000000" w:fill="FFFFFF"/>
          </w:tcPr>
          <w:p w14:paraId="66CC9D60" w14:textId="542EB3FF" w:rsidR="00CF5D35" w:rsidRPr="00DB204E" w:rsidRDefault="00CF5D35" w:rsidP="0049320F">
            <w:pPr>
              <w:autoSpaceDE/>
              <w:autoSpaceDN/>
              <w:adjustRightInd/>
              <w:spacing w:after="0"/>
              <w:rPr>
                <w:rFonts w:cs="Arial"/>
                <w:sz w:val="20"/>
                <w:szCs w:val="20"/>
              </w:rPr>
            </w:pPr>
            <w:r>
              <w:rPr>
                <w:rFonts w:cs="Arial"/>
                <w:sz w:val="20"/>
                <w:szCs w:val="20"/>
              </w:rPr>
              <w:t>25.431</w:t>
            </w:r>
          </w:p>
        </w:tc>
        <w:tc>
          <w:tcPr>
            <w:tcW w:w="1447" w:type="dxa"/>
            <w:tcBorders>
              <w:top w:val="nil"/>
              <w:left w:val="nil"/>
              <w:bottom w:val="single" w:sz="4" w:space="0" w:color="auto"/>
              <w:right w:val="single" w:sz="4" w:space="0" w:color="auto"/>
            </w:tcBorders>
            <w:shd w:val="clear" w:color="000000" w:fill="FFFFFF"/>
          </w:tcPr>
          <w:p w14:paraId="52BE4F74" w14:textId="1EBC0FFC" w:rsidR="00CF5D35" w:rsidRPr="00DB204E" w:rsidRDefault="00CF5D35" w:rsidP="0049320F">
            <w:pPr>
              <w:autoSpaceDE/>
              <w:autoSpaceDN/>
              <w:adjustRightInd/>
              <w:spacing w:after="0"/>
              <w:rPr>
                <w:rFonts w:cs="Arial"/>
                <w:sz w:val="20"/>
                <w:szCs w:val="20"/>
              </w:rPr>
            </w:pPr>
            <w:r>
              <w:rPr>
                <w:rFonts w:cs="Arial"/>
                <w:sz w:val="20"/>
                <w:szCs w:val="20"/>
              </w:rPr>
              <w:t>-0.659</w:t>
            </w:r>
          </w:p>
        </w:tc>
      </w:tr>
      <w:tr w:rsidR="00CF5D35" w:rsidRPr="00DB204E" w14:paraId="6C8B9434" w14:textId="77777777" w:rsidTr="00431B9C">
        <w:trPr>
          <w:trHeight w:val="255"/>
        </w:trPr>
        <w:tc>
          <w:tcPr>
            <w:tcW w:w="777" w:type="dxa"/>
            <w:tcBorders>
              <w:top w:val="nil"/>
              <w:left w:val="single" w:sz="4" w:space="0" w:color="auto"/>
              <w:bottom w:val="single" w:sz="4" w:space="0" w:color="auto"/>
              <w:right w:val="single" w:sz="4" w:space="0" w:color="auto"/>
            </w:tcBorders>
            <w:shd w:val="clear" w:color="000000" w:fill="FFFFFF"/>
            <w:noWrap/>
          </w:tcPr>
          <w:p w14:paraId="5F52C967" w14:textId="4B25DCD6" w:rsidR="00CF5D35" w:rsidRPr="00DB204E" w:rsidRDefault="00CF5D35" w:rsidP="0049320F">
            <w:pPr>
              <w:autoSpaceDE/>
              <w:autoSpaceDN/>
              <w:adjustRightInd/>
              <w:spacing w:after="0"/>
              <w:rPr>
                <w:rFonts w:eastAsia="Times New Roman" w:cs="Arial"/>
                <w:b/>
                <w:bCs/>
                <w:sz w:val="20"/>
                <w:szCs w:val="20"/>
                <w:lang w:eastAsia="en-GB"/>
              </w:rPr>
            </w:pPr>
            <w:r>
              <w:rPr>
                <w:rFonts w:eastAsia="Times New Roman" w:cs="Arial"/>
                <w:b/>
                <w:bCs/>
                <w:sz w:val="20"/>
                <w:szCs w:val="20"/>
                <w:lang w:eastAsia="en-GB"/>
              </w:rPr>
              <w:t>3.2.5</w:t>
            </w:r>
          </w:p>
        </w:tc>
        <w:tc>
          <w:tcPr>
            <w:tcW w:w="3954" w:type="dxa"/>
            <w:tcBorders>
              <w:top w:val="nil"/>
              <w:left w:val="nil"/>
              <w:bottom w:val="single" w:sz="4" w:space="0" w:color="auto"/>
              <w:right w:val="single" w:sz="4" w:space="0" w:color="auto"/>
            </w:tcBorders>
            <w:shd w:val="clear" w:color="000000" w:fill="FFFFFF"/>
          </w:tcPr>
          <w:p w14:paraId="0605547B" w14:textId="4B7FACAB" w:rsidR="00CF5D35" w:rsidRPr="00DB204E" w:rsidRDefault="00CF5D35" w:rsidP="0049320F">
            <w:pPr>
              <w:autoSpaceDE/>
              <w:autoSpaceDN/>
              <w:adjustRightInd/>
              <w:spacing w:after="0"/>
              <w:rPr>
                <w:rFonts w:cs="Arial"/>
                <w:sz w:val="20"/>
                <w:szCs w:val="20"/>
              </w:rPr>
            </w:pPr>
            <w:r w:rsidRPr="00DB204E">
              <w:rPr>
                <w:rFonts w:cs="Arial"/>
                <w:sz w:val="20"/>
                <w:szCs w:val="20"/>
              </w:rPr>
              <w:t>CHILDREN SOCIAL CARE</w:t>
            </w:r>
          </w:p>
        </w:tc>
        <w:tc>
          <w:tcPr>
            <w:tcW w:w="1447" w:type="dxa"/>
            <w:tcBorders>
              <w:top w:val="nil"/>
              <w:left w:val="nil"/>
              <w:bottom w:val="single" w:sz="4" w:space="0" w:color="auto"/>
              <w:right w:val="single" w:sz="4" w:space="0" w:color="auto"/>
            </w:tcBorders>
            <w:shd w:val="clear" w:color="000000" w:fill="FFFFFF"/>
          </w:tcPr>
          <w:p w14:paraId="1586A0EB" w14:textId="2FBE01ED" w:rsidR="00CF5D35" w:rsidRPr="00DB204E" w:rsidRDefault="00CF5D35" w:rsidP="0049320F">
            <w:pPr>
              <w:autoSpaceDE/>
              <w:autoSpaceDN/>
              <w:adjustRightInd/>
              <w:spacing w:after="0"/>
              <w:rPr>
                <w:rFonts w:cs="Arial"/>
                <w:sz w:val="20"/>
                <w:szCs w:val="20"/>
              </w:rPr>
            </w:pPr>
            <w:r>
              <w:rPr>
                <w:rFonts w:cs="Arial"/>
                <w:sz w:val="20"/>
                <w:szCs w:val="20"/>
              </w:rPr>
              <w:t>64.719</w:t>
            </w:r>
          </w:p>
        </w:tc>
        <w:tc>
          <w:tcPr>
            <w:tcW w:w="1447" w:type="dxa"/>
            <w:tcBorders>
              <w:top w:val="nil"/>
              <w:left w:val="nil"/>
              <w:bottom w:val="single" w:sz="4" w:space="0" w:color="auto"/>
              <w:right w:val="single" w:sz="4" w:space="0" w:color="auto"/>
            </w:tcBorders>
            <w:shd w:val="clear" w:color="000000" w:fill="FFFFFF"/>
          </w:tcPr>
          <w:p w14:paraId="68D80D9E" w14:textId="275CB099" w:rsidR="00CF5D35" w:rsidRPr="00DB204E" w:rsidRDefault="00CF5D35" w:rsidP="0049320F">
            <w:pPr>
              <w:autoSpaceDE/>
              <w:autoSpaceDN/>
              <w:adjustRightInd/>
              <w:spacing w:after="0"/>
              <w:rPr>
                <w:rFonts w:cs="Arial"/>
                <w:sz w:val="20"/>
                <w:szCs w:val="20"/>
              </w:rPr>
            </w:pPr>
            <w:r>
              <w:rPr>
                <w:rFonts w:cs="Arial"/>
                <w:sz w:val="20"/>
                <w:szCs w:val="20"/>
              </w:rPr>
              <w:t>79.980</w:t>
            </w:r>
          </w:p>
        </w:tc>
        <w:tc>
          <w:tcPr>
            <w:tcW w:w="1447" w:type="dxa"/>
            <w:tcBorders>
              <w:top w:val="nil"/>
              <w:left w:val="nil"/>
              <w:bottom w:val="single" w:sz="4" w:space="0" w:color="auto"/>
              <w:right w:val="single" w:sz="4" w:space="0" w:color="auto"/>
            </w:tcBorders>
            <w:shd w:val="clear" w:color="000000" w:fill="FFFFFF"/>
          </w:tcPr>
          <w:p w14:paraId="438F53B8" w14:textId="29EFACB5" w:rsidR="00CF5D35" w:rsidRPr="00DB204E" w:rsidRDefault="00CF5D35" w:rsidP="0049320F">
            <w:pPr>
              <w:autoSpaceDE/>
              <w:autoSpaceDN/>
              <w:adjustRightInd/>
              <w:spacing w:after="0"/>
              <w:rPr>
                <w:rFonts w:cs="Arial"/>
                <w:sz w:val="20"/>
                <w:szCs w:val="20"/>
              </w:rPr>
            </w:pPr>
            <w:r>
              <w:rPr>
                <w:rFonts w:cs="Arial"/>
                <w:sz w:val="20"/>
                <w:szCs w:val="20"/>
              </w:rPr>
              <w:t>15.261</w:t>
            </w:r>
          </w:p>
        </w:tc>
      </w:tr>
      <w:tr w:rsidR="00431B9C" w:rsidRPr="00DB204E" w14:paraId="68421A81" w14:textId="77777777" w:rsidTr="00431B9C">
        <w:trPr>
          <w:trHeight w:val="157"/>
        </w:trPr>
        <w:tc>
          <w:tcPr>
            <w:tcW w:w="777" w:type="dxa"/>
            <w:tcBorders>
              <w:top w:val="nil"/>
              <w:left w:val="single" w:sz="4" w:space="0" w:color="auto"/>
              <w:bottom w:val="single" w:sz="4" w:space="0" w:color="auto"/>
              <w:right w:val="single" w:sz="4" w:space="0" w:color="auto"/>
            </w:tcBorders>
            <w:shd w:val="clear" w:color="000000" w:fill="FFFFFF"/>
            <w:noWrap/>
            <w:hideMark/>
          </w:tcPr>
          <w:p w14:paraId="0496FB21" w14:textId="19B5264F" w:rsidR="00431B9C" w:rsidRPr="00DB204E" w:rsidRDefault="00DE4B16" w:rsidP="0049320F">
            <w:pPr>
              <w:autoSpaceDE/>
              <w:autoSpaceDN/>
              <w:adjustRightInd/>
              <w:spacing w:after="0"/>
              <w:rPr>
                <w:rFonts w:eastAsia="Times New Roman" w:cs="Arial"/>
                <w:b/>
                <w:bCs/>
                <w:sz w:val="20"/>
                <w:szCs w:val="20"/>
                <w:lang w:eastAsia="en-GB"/>
              </w:rPr>
            </w:pPr>
            <w:r>
              <w:rPr>
                <w:rFonts w:eastAsia="Times New Roman" w:cs="Arial"/>
                <w:b/>
                <w:bCs/>
                <w:sz w:val="20"/>
                <w:szCs w:val="20"/>
                <w:lang w:eastAsia="en-GB"/>
              </w:rPr>
              <w:t>3.2</w:t>
            </w:r>
            <w:r w:rsidR="00CF5D35">
              <w:rPr>
                <w:rFonts w:eastAsia="Times New Roman" w:cs="Arial"/>
                <w:b/>
                <w:bCs/>
                <w:sz w:val="20"/>
                <w:szCs w:val="20"/>
                <w:lang w:eastAsia="en-GB"/>
              </w:rPr>
              <w:t>.6</w:t>
            </w:r>
          </w:p>
        </w:tc>
        <w:tc>
          <w:tcPr>
            <w:tcW w:w="3954" w:type="dxa"/>
            <w:tcBorders>
              <w:top w:val="nil"/>
              <w:left w:val="nil"/>
              <w:bottom w:val="single" w:sz="4" w:space="0" w:color="auto"/>
              <w:right w:val="single" w:sz="4" w:space="0" w:color="auto"/>
            </w:tcBorders>
            <w:shd w:val="clear" w:color="000000" w:fill="FFFFFF"/>
            <w:hideMark/>
          </w:tcPr>
          <w:p w14:paraId="2F2CD0F2" w14:textId="77777777" w:rsidR="00431B9C" w:rsidRPr="0069302F" w:rsidRDefault="00431B9C" w:rsidP="0049320F">
            <w:pPr>
              <w:autoSpaceDE/>
              <w:autoSpaceDN/>
              <w:adjustRightInd/>
              <w:spacing w:after="0"/>
              <w:rPr>
                <w:rFonts w:cs="Arial"/>
                <w:sz w:val="20"/>
                <w:szCs w:val="20"/>
              </w:rPr>
            </w:pPr>
            <w:r w:rsidRPr="00DB204E">
              <w:rPr>
                <w:rFonts w:cs="Arial"/>
                <w:sz w:val="20"/>
                <w:szCs w:val="20"/>
              </w:rPr>
              <w:t>SCHOOL IMPROVEMENT</w:t>
            </w:r>
          </w:p>
        </w:tc>
        <w:tc>
          <w:tcPr>
            <w:tcW w:w="1447" w:type="dxa"/>
            <w:tcBorders>
              <w:top w:val="nil"/>
              <w:left w:val="nil"/>
              <w:bottom w:val="single" w:sz="4" w:space="0" w:color="auto"/>
              <w:right w:val="single" w:sz="4" w:space="0" w:color="auto"/>
            </w:tcBorders>
            <w:shd w:val="clear" w:color="000000" w:fill="FFFFFF"/>
            <w:hideMark/>
          </w:tcPr>
          <w:p w14:paraId="655890FB" w14:textId="77777777" w:rsidR="00431B9C" w:rsidRPr="0069302F" w:rsidRDefault="00431B9C" w:rsidP="0049320F">
            <w:pPr>
              <w:autoSpaceDE/>
              <w:autoSpaceDN/>
              <w:adjustRightInd/>
              <w:spacing w:after="0"/>
              <w:rPr>
                <w:rFonts w:cs="Arial"/>
                <w:sz w:val="20"/>
                <w:szCs w:val="20"/>
              </w:rPr>
            </w:pPr>
            <w:r w:rsidRPr="00DB204E">
              <w:rPr>
                <w:rFonts w:cs="Arial"/>
                <w:sz w:val="20"/>
                <w:szCs w:val="20"/>
              </w:rPr>
              <w:t xml:space="preserve">6.785 </w:t>
            </w:r>
          </w:p>
        </w:tc>
        <w:tc>
          <w:tcPr>
            <w:tcW w:w="1447" w:type="dxa"/>
            <w:tcBorders>
              <w:top w:val="nil"/>
              <w:left w:val="nil"/>
              <w:bottom w:val="single" w:sz="4" w:space="0" w:color="auto"/>
              <w:right w:val="single" w:sz="4" w:space="0" w:color="auto"/>
            </w:tcBorders>
            <w:shd w:val="clear" w:color="000000" w:fill="FFFFFF"/>
            <w:hideMark/>
          </w:tcPr>
          <w:p w14:paraId="11BEC873" w14:textId="77777777" w:rsidR="00431B9C" w:rsidRPr="0069302F" w:rsidRDefault="00431B9C" w:rsidP="0049320F">
            <w:pPr>
              <w:autoSpaceDE/>
              <w:autoSpaceDN/>
              <w:adjustRightInd/>
              <w:spacing w:after="0"/>
              <w:rPr>
                <w:rFonts w:cs="Arial"/>
                <w:sz w:val="20"/>
                <w:szCs w:val="20"/>
              </w:rPr>
            </w:pPr>
            <w:r w:rsidRPr="00DB204E">
              <w:rPr>
                <w:rFonts w:cs="Arial"/>
                <w:sz w:val="20"/>
                <w:szCs w:val="20"/>
              </w:rPr>
              <w:t xml:space="preserve">6.535 </w:t>
            </w:r>
          </w:p>
        </w:tc>
        <w:tc>
          <w:tcPr>
            <w:tcW w:w="1447" w:type="dxa"/>
            <w:tcBorders>
              <w:top w:val="nil"/>
              <w:left w:val="nil"/>
              <w:bottom w:val="single" w:sz="4" w:space="0" w:color="auto"/>
              <w:right w:val="single" w:sz="4" w:space="0" w:color="auto"/>
            </w:tcBorders>
            <w:shd w:val="clear" w:color="000000" w:fill="FFFFFF"/>
            <w:hideMark/>
          </w:tcPr>
          <w:p w14:paraId="5F1CA065" w14:textId="77777777" w:rsidR="00431B9C" w:rsidRPr="0069302F" w:rsidRDefault="00431B9C" w:rsidP="0049320F">
            <w:pPr>
              <w:autoSpaceDE/>
              <w:autoSpaceDN/>
              <w:adjustRightInd/>
              <w:spacing w:after="0"/>
              <w:rPr>
                <w:rFonts w:cs="Arial"/>
                <w:sz w:val="20"/>
                <w:szCs w:val="20"/>
              </w:rPr>
            </w:pPr>
            <w:r w:rsidRPr="00DB204E">
              <w:rPr>
                <w:rFonts w:cs="Arial"/>
                <w:sz w:val="20"/>
                <w:szCs w:val="20"/>
              </w:rPr>
              <w:t xml:space="preserve">-0.250 </w:t>
            </w:r>
          </w:p>
        </w:tc>
      </w:tr>
      <w:tr w:rsidR="00431B9C" w:rsidRPr="00DB204E" w14:paraId="48EE0D5B" w14:textId="77777777" w:rsidTr="00431B9C">
        <w:trPr>
          <w:trHeight w:val="77"/>
        </w:trPr>
        <w:tc>
          <w:tcPr>
            <w:tcW w:w="777" w:type="dxa"/>
            <w:tcBorders>
              <w:top w:val="nil"/>
              <w:left w:val="single" w:sz="4" w:space="0" w:color="auto"/>
              <w:bottom w:val="single" w:sz="4" w:space="0" w:color="auto"/>
              <w:right w:val="single" w:sz="4" w:space="0" w:color="auto"/>
            </w:tcBorders>
            <w:shd w:val="clear" w:color="000000" w:fill="FFFFFF"/>
            <w:noWrap/>
            <w:hideMark/>
          </w:tcPr>
          <w:p w14:paraId="4AFFC292" w14:textId="5F7D341A" w:rsidR="00431B9C" w:rsidRPr="00DB204E" w:rsidRDefault="00CF5D35" w:rsidP="0049320F">
            <w:pPr>
              <w:autoSpaceDE/>
              <w:autoSpaceDN/>
              <w:adjustRightInd/>
              <w:spacing w:after="0"/>
              <w:rPr>
                <w:rFonts w:eastAsia="Times New Roman" w:cs="Arial"/>
                <w:b/>
                <w:bCs/>
                <w:sz w:val="20"/>
                <w:szCs w:val="20"/>
                <w:lang w:eastAsia="en-GB"/>
              </w:rPr>
            </w:pPr>
            <w:r>
              <w:rPr>
                <w:rFonts w:eastAsia="Times New Roman" w:cs="Arial"/>
                <w:b/>
                <w:bCs/>
                <w:sz w:val="20"/>
                <w:szCs w:val="20"/>
                <w:lang w:eastAsia="en-GB"/>
              </w:rPr>
              <w:t>3.2.7</w:t>
            </w:r>
          </w:p>
        </w:tc>
        <w:tc>
          <w:tcPr>
            <w:tcW w:w="3954" w:type="dxa"/>
            <w:tcBorders>
              <w:top w:val="nil"/>
              <w:left w:val="nil"/>
              <w:bottom w:val="single" w:sz="4" w:space="0" w:color="auto"/>
              <w:right w:val="single" w:sz="4" w:space="0" w:color="auto"/>
            </w:tcBorders>
            <w:shd w:val="clear" w:color="000000" w:fill="FFFFFF"/>
            <w:hideMark/>
          </w:tcPr>
          <w:p w14:paraId="50D8309B" w14:textId="77777777" w:rsidR="00431B9C" w:rsidRPr="00500D71" w:rsidRDefault="00431B9C" w:rsidP="0049320F">
            <w:pPr>
              <w:autoSpaceDE/>
              <w:autoSpaceDN/>
              <w:adjustRightInd/>
              <w:spacing w:after="0"/>
              <w:rPr>
                <w:rFonts w:cs="Arial"/>
                <w:sz w:val="20"/>
                <w:szCs w:val="20"/>
              </w:rPr>
            </w:pPr>
            <w:r w:rsidRPr="00DB204E">
              <w:rPr>
                <w:rFonts w:cs="Arial"/>
                <w:sz w:val="20"/>
                <w:szCs w:val="20"/>
              </w:rPr>
              <w:t>TRADED SERVICES (START WELL)</w:t>
            </w:r>
          </w:p>
        </w:tc>
        <w:tc>
          <w:tcPr>
            <w:tcW w:w="1447" w:type="dxa"/>
            <w:tcBorders>
              <w:top w:val="nil"/>
              <w:left w:val="nil"/>
              <w:bottom w:val="single" w:sz="4" w:space="0" w:color="auto"/>
              <w:right w:val="single" w:sz="4" w:space="0" w:color="auto"/>
            </w:tcBorders>
            <w:shd w:val="clear" w:color="000000" w:fill="FFFFFF"/>
            <w:hideMark/>
          </w:tcPr>
          <w:p w14:paraId="10CD94C9" w14:textId="77777777" w:rsidR="00431B9C" w:rsidRPr="00500D71" w:rsidRDefault="00431B9C" w:rsidP="0049320F">
            <w:pPr>
              <w:autoSpaceDE/>
              <w:autoSpaceDN/>
              <w:adjustRightInd/>
              <w:spacing w:after="0"/>
              <w:rPr>
                <w:rFonts w:cs="Arial"/>
                <w:sz w:val="20"/>
                <w:szCs w:val="20"/>
              </w:rPr>
            </w:pPr>
            <w:r w:rsidRPr="00DB204E">
              <w:rPr>
                <w:rFonts w:cs="Arial"/>
                <w:sz w:val="20"/>
                <w:szCs w:val="20"/>
              </w:rPr>
              <w:t xml:space="preserve">-2.670 </w:t>
            </w:r>
          </w:p>
        </w:tc>
        <w:tc>
          <w:tcPr>
            <w:tcW w:w="1447" w:type="dxa"/>
            <w:tcBorders>
              <w:top w:val="nil"/>
              <w:left w:val="nil"/>
              <w:bottom w:val="single" w:sz="4" w:space="0" w:color="auto"/>
              <w:right w:val="single" w:sz="4" w:space="0" w:color="auto"/>
            </w:tcBorders>
            <w:shd w:val="clear" w:color="000000" w:fill="FFFFFF"/>
            <w:hideMark/>
          </w:tcPr>
          <w:p w14:paraId="39D19AC4" w14:textId="77777777" w:rsidR="00431B9C" w:rsidRPr="00500D71" w:rsidRDefault="00431B9C" w:rsidP="0049320F">
            <w:pPr>
              <w:autoSpaceDE/>
              <w:autoSpaceDN/>
              <w:adjustRightInd/>
              <w:spacing w:after="0"/>
              <w:rPr>
                <w:rFonts w:cs="Arial"/>
                <w:sz w:val="20"/>
                <w:szCs w:val="20"/>
              </w:rPr>
            </w:pPr>
            <w:r w:rsidRPr="00DB204E">
              <w:rPr>
                <w:rFonts w:cs="Arial"/>
                <w:sz w:val="20"/>
                <w:szCs w:val="20"/>
              </w:rPr>
              <w:t xml:space="preserve">-4.855 </w:t>
            </w:r>
          </w:p>
        </w:tc>
        <w:tc>
          <w:tcPr>
            <w:tcW w:w="1447" w:type="dxa"/>
            <w:tcBorders>
              <w:top w:val="nil"/>
              <w:left w:val="nil"/>
              <w:bottom w:val="single" w:sz="4" w:space="0" w:color="auto"/>
              <w:right w:val="single" w:sz="4" w:space="0" w:color="auto"/>
            </w:tcBorders>
            <w:shd w:val="clear" w:color="000000" w:fill="FFFFFF"/>
            <w:hideMark/>
          </w:tcPr>
          <w:p w14:paraId="392B3070" w14:textId="77777777" w:rsidR="00431B9C" w:rsidRPr="00500D71" w:rsidRDefault="00431B9C" w:rsidP="0049320F">
            <w:pPr>
              <w:autoSpaceDE/>
              <w:autoSpaceDN/>
              <w:adjustRightInd/>
              <w:spacing w:after="0"/>
              <w:rPr>
                <w:rFonts w:cs="Arial"/>
                <w:sz w:val="20"/>
                <w:szCs w:val="20"/>
              </w:rPr>
            </w:pPr>
            <w:r w:rsidRPr="00DB204E">
              <w:rPr>
                <w:rFonts w:cs="Arial"/>
                <w:sz w:val="20"/>
                <w:szCs w:val="20"/>
              </w:rPr>
              <w:t xml:space="preserve">-2.185 </w:t>
            </w:r>
          </w:p>
        </w:tc>
      </w:tr>
      <w:tr w:rsidR="00431B9C" w:rsidRPr="00DB204E" w14:paraId="41B17C83" w14:textId="77777777" w:rsidTr="00431B9C">
        <w:trPr>
          <w:trHeight w:val="255"/>
        </w:trPr>
        <w:tc>
          <w:tcPr>
            <w:tcW w:w="777" w:type="dxa"/>
            <w:tcBorders>
              <w:top w:val="nil"/>
              <w:left w:val="single" w:sz="4" w:space="0" w:color="auto"/>
              <w:bottom w:val="single" w:sz="4" w:space="0" w:color="auto"/>
              <w:right w:val="single" w:sz="4" w:space="0" w:color="auto"/>
            </w:tcBorders>
            <w:shd w:val="clear" w:color="000000" w:fill="D9D9D9"/>
            <w:vAlign w:val="center"/>
            <w:hideMark/>
          </w:tcPr>
          <w:p w14:paraId="6F833FA3" w14:textId="77777777" w:rsidR="00431B9C" w:rsidRPr="00DB204E" w:rsidRDefault="00431B9C" w:rsidP="0049320F">
            <w:pPr>
              <w:autoSpaceDE/>
              <w:autoSpaceDN/>
              <w:adjustRightInd/>
              <w:spacing w:after="0"/>
              <w:rPr>
                <w:rFonts w:eastAsia="Times New Roman" w:cs="Arial"/>
                <w:b/>
                <w:bCs/>
                <w:sz w:val="20"/>
                <w:szCs w:val="20"/>
                <w:lang w:eastAsia="en-GB"/>
              </w:rPr>
            </w:pPr>
            <w:r w:rsidRPr="00DB204E">
              <w:rPr>
                <w:rFonts w:eastAsia="Times New Roman" w:cs="Arial"/>
                <w:b/>
                <w:bCs/>
                <w:sz w:val="20"/>
                <w:szCs w:val="20"/>
                <w:lang w:eastAsia="en-GB"/>
              </w:rPr>
              <w:t> </w:t>
            </w:r>
          </w:p>
        </w:tc>
        <w:tc>
          <w:tcPr>
            <w:tcW w:w="3954" w:type="dxa"/>
            <w:tcBorders>
              <w:top w:val="nil"/>
              <w:left w:val="nil"/>
              <w:bottom w:val="single" w:sz="4" w:space="0" w:color="auto"/>
              <w:right w:val="single" w:sz="4" w:space="0" w:color="auto"/>
            </w:tcBorders>
            <w:shd w:val="clear" w:color="000000" w:fill="D9D9D9"/>
            <w:noWrap/>
            <w:vAlign w:val="center"/>
            <w:hideMark/>
          </w:tcPr>
          <w:p w14:paraId="192D396B" w14:textId="77777777" w:rsidR="00431B9C" w:rsidRPr="00DB204E" w:rsidRDefault="00431B9C" w:rsidP="0049320F">
            <w:pPr>
              <w:autoSpaceDE/>
              <w:autoSpaceDN/>
              <w:adjustRightInd/>
              <w:spacing w:after="0"/>
              <w:rPr>
                <w:rFonts w:eastAsia="Times New Roman" w:cs="Arial"/>
                <w:b/>
                <w:bCs/>
                <w:sz w:val="20"/>
                <w:szCs w:val="20"/>
                <w:lang w:eastAsia="en-GB"/>
              </w:rPr>
            </w:pPr>
            <w:r w:rsidRPr="00DB204E">
              <w:rPr>
                <w:rFonts w:cs="Arial"/>
                <w:b/>
                <w:bCs/>
                <w:sz w:val="20"/>
                <w:szCs w:val="20"/>
              </w:rPr>
              <w:t>TOTAL - CHILDREN'S SERVICES</w:t>
            </w:r>
          </w:p>
        </w:tc>
        <w:tc>
          <w:tcPr>
            <w:tcW w:w="1447" w:type="dxa"/>
            <w:tcBorders>
              <w:top w:val="nil"/>
              <w:left w:val="nil"/>
              <w:bottom w:val="single" w:sz="4" w:space="0" w:color="auto"/>
              <w:right w:val="single" w:sz="4" w:space="0" w:color="auto"/>
            </w:tcBorders>
            <w:shd w:val="clear" w:color="000000" w:fill="D9D9D9"/>
            <w:vAlign w:val="center"/>
            <w:hideMark/>
          </w:tcPr>
          <w:p w14:paraId="7700723E" w14:textId="77777777" w:rsidR="00431B9C" w:rsidRPr="00DB204E" w:rsidRDefault="00431B9C" w:rsidP="0049320F">
            <w:pPr>
              <w:autoSpaceDE/>
              <w:autoSpaceDN/>
              <w:adjustRightInd/>
              <w:spacing w:after="0"/>
              <w:rPr>
                <w:rFonts w:eastAsia="Times New Roman" w:cs="Arial"/>
                <w:b/>
                <w:bCs/>
                <w:sz w:val="20"/>
                <w:szCs w:val="20"/>
                <w:lang w:eastAsia="en-GB"/>
              </w:rPr>
            </w:pPr>
            <w:r w:rsidRPr="00DB204E">
              <w:rPr>
                <w:rFonts w:cs="Arial"/>
                <w:b/>
                <w:bCs/>
                <w:sz w:val="20"/>
                <w:szCs w:val="20"/>
              </w:rPr>
              <w:t xml:space="preserve">119.356 </w:t>
            </w:r>
          </w:p>
        </w:tc>
        <w:tc>
          <w:tcPr>
            <w:tcW w:w="1447" w:type="dxa"/>
            <w:tcBorders>
              <w:top w:val="nil"/>
              <w:left w:val="nil"/>
              <w:bottom w:val="single" w:sz="4" w:space="0" w:color="auto"/>
              <w:right w:val="single" w:sz="4" w:space="0" w:color="auto"/>
            </w:tcBorders>
            <w:shd w:val="clear" w:color="000000" w:fill="D9D9D9"/>
            <w:vAlign w:val="center"/>
            <w:hideMark/>
          </w:tcPr>
          <w:p w14:paraId="672BB373" w14:textId="24064262" w:rsidR="00431B9C" w:rsidRPr="00DB204E" w:rsidRDefault="00616E24" w:rsidP="0049320F">
            <w:pPr>
              <w:autoSpaceDE/>
              <w:autoSpaceDN/>
              <w:adjustRightInd/>
              <w:spacing w:after="0"/>
              <w:rPr>
                <w:rFonts w:eastAsia="Times New Roman" w:cs="Arial"/>
                <w:b/>
                <w:bCs/>
                <w:sz w:val="20"/>
                <w:szCs w:val="20"/>
                <w:lang w:eastAsia="en-GB"/>
              </w:rPr>
            </w:pPr>
            <w:r>
              <w:rPr>
                <w:rFonts w:eastAsia="Times New Roman" w:cs="Arial"/>
                <w:b/>
                <w:bCs/>
                <w:sz w:val="20"/>
                <w:szCs w:val="20"/>
                <w:lang w:eastAsia="en-GB"/>
              </w:rPr>
              <w:t>128.789</w:t>
            </w:r>
          </w:p>
        </w:tc>
        <w:tc>
          <w:tcPr>
            <w:tcW w:w="1447" w:type="dxa"/>
            <w:tcBorders>
              <w:top w:val="nil"/>
              <w:left w:val="nil"/>
              <w:bottom w:val="single" w:sz="4" w:space="0" w:color="auto"/>
              <w:right w:val="single" w:sz="4" w:space="0" w:color="auto"/>
            </w:tcBorders>
            <w:shd w:val="clear" w:color="000000" w:fill="D9D9D9"/>
            <w:vAlign w:val="center"/>
            <w:hideMark/>
          </w:tcPr>
          <w:p w14:paraId="12903798" w14:textId="450C8FB9" w:rsidR="00431B9C" w:rsidRPr="00DB204E" w:rsidRDefault="00CF5D35" w:rsidP="0049320F">
            <w:pPr>
              <w:autoSpaceDE/>
              <w:autoSpaceDN/>
              <w:adjustRightInd/>
              <w:spacing w:after="0"/>
              <w:rPr>
                <w:rFonts w:eastAsia="Times New Roman" w:cs="Arial"/>
                <w:b/>
                <w:bCs/>
                <w:sz w:val="20"/>
                <w:szCs w:val="20"/>
                <w:lang w:eastAsia="en-GB"/>
              </w:rPr>
            </w:pPr>
            <w:r>
              <w:rPr>
                <w:rFonts w:eastAsia="Times New Roman" w:cs="Arial"/>
                <w:b/>
                <w:bCs/>
                <w:sz w:val="20"/>
                <w:szCs w:val="20"/>
                <w:lang w:eastAsia="en-GB"/>
              </w:rPr>
              <w:t>9.433</w:t>
            </w:r>
          </w:p>
        </w:tc>
      </w:tr>
    </w:tbl>
    <w:p w14:paraId="51029391" w14:textId="77777777" w:rsidR="00431B9C" w:rsidRPr="003D717E" w:rsidRDefault="00431B9C" w:rsidP="0049320F">
      <w:pPr>
        <w:tabs>
          <w:tab w:val="left" w:pos="851"/>
          <w:tab w:val="left" w:pos="1418"/>
        </w:tabs>
        <w:spacing w:after="0"/>
        <w:contextualSpacing/>
        <w:rPr>
          <w:rFonts w:cs="Arial"/>
        </w:rPr>
      </w:pPr>
    </w:p>
    <w:p w14:paraId="6AE403AE" w14:textId="3B1F11BC" w:rsidR="00431B9C" w:rsidRPr="003D717E" w:rsidRDefault="00431B9C" w:rsidP="0049320F">
      <w:pPr>
        <w:tabs>
          <w:tab w:val="left" w:pos="851"/>
          <w:tab w:val="left" w:pos="1418"/>
        </w:tabs>
        <w:spacing w:after="0"/>
        <w:contextualSpacing/>
        <w:rPr>
          <w:rFonts w:cs="Arial"/>
        </w:rPr>
      </w:pPr>
      <w:r w:rsidRPr="003D717E">
        <w:rPr>
          <w:rFonts w:cs="Arial"/>
        </w:rPr>
        <w:t xml:space="preserve">The total net approved budget for Children's Services in 2016/17 is £119.356m.  As at the end of quarter 1, the service is forecast to </w:t>
      </w:r>
      <w:r w:rsidR="00BD50D4">
        <w:rPr>
          <w:rFonts w:cs="Arial"/>
        </w:rPr>
        <w:t>over</w:t>
      </w:r>
      <w:r w:rsidRPr="003D717E">
        <w:rPr>
          <w:rFonts w:cs="Arial"/>
        </w:rPr>
        <w:t>spend by £</w:t>
      </w:r>
      <w:r w:rsidR="00616E24">
        <w:rPr>
          <w:rFonts w:cs="Arial"/>
        </w:rPr>
        <w:t>9.433</w:t>
      </w:r>
      <w:r w:rsidRPr="003D717E">
        <w:rPr>
          <w:rFonts w:cs="Arial"/>
        </w:rPr>
        <w:t xml:space="preserve">m.  An additional £5.000m has been included in the 2016/17 budget </w:t>
      </w:r>
      <w:r w:rsidR="00D46DA7">
        <w:rPr>
          <w:rFonts w:cs="Arial"/>
        </w:rPr>
        <w:t xml:space="preserve">as agreed in the MTFS </w:t>
      </w:r>
      <w:r w:rsidRPr="003D717E">
        <w:rPr>
          <w:rFonts w:cs="Arial"/>
        </w:rPr>
        <w:t xml:space="preserve">following the Ofsted inspection in </w:t>
      </w:r>
      <w:proofErr w:type="spellStart"/>
      <w:r w:rsidRPr="003D717E">
        <w:rPr>
          <w:rFonts w:cs="Arial"/>
        </w:rPr>
        <w:t>mid 2015</w:t>
      </w:r>
      <w:proofErr w:type="spellEnd"/>
      <w:r w:rsidRPr="003D717E">
        <w:rPr>
          <w:rFonts w:cs="Arial"/>
        </w:rPr>
        <w:t>/16.</w:t>
      </w:r>
    </w:p>
    <w:p w14:paraId="2C056872" w14:textId="77777777" w:rsidR="00431B9C" w:rsidRPr="003D717E" w:rsidRDefault="00431B9C" w:rsidP="0049320F">
      <w:pPr>
        <w:tabs>
          <w:tab w:val="left" w:pos="0"/>
          <w:tab w:val="left" w:pos="1418"/>
        </w:tabs>
        <w:contextualSpacing/>
        <w:rPr>
          <w:rFonts w:cs="Arial"/>
        </w:rPr>
      </w:pPr>
    </w:p>
    <w:p w14:paraId="6684A5B8" w14:textId="26311FF8" w:rsidR="00431B9C" w:rsidRPr="003D717E" w:rsidRDefault="00622590" w:rsidP="0049320F">
      <w:pPr>
        <w:tabs>
          <w:tab w:val="left" w:pos="851"/>
          <w:tab w:val="left" w:pos="1418"/>
        </w:tabs>
        <w:spacing w:after="0"/>
        <w:contextualSpacing/>
        <w:rPr>
          <w:rFonts w:cs="Arial"/>
          <w:b/>
        </w:rPr>
      </w:pPr>
      <w:r>
        <w:rPr>
          <w:rFonts w:cs="Arial"/>
          <w:b/>
        </w:rPr>
        <w:t>3.2</w:t>
      </w:r>
      <w:r w:rsidR="00431B9C" w:rsidRPr="003D717E">
        <w:rPr>
          <w:rFonts w:cs="Arial"/>
          <w:b/>
        </w:rPr>
        <w:t>.</w:t>
      </w:r>
      <w:r w:rsidR="00AC394A">
        <w:rPr>
          <w:rFonts w:cs="Arial"/>
          <w:b/>
        </w:rPr>
        <w:t>2</w:t>
      </w:r>
      <w:r w:rsidR="00431B9C" w:rsidRPr="003D717E">
        <w:rPr>
          <w:rFonts w:cs="Arial"/>
          <w:b/>
        </w:rPr>
        <w:tab/>
        <w:t>Special Education Needs and Disability (SEND)</w:t>
      </w:r>
    </w:p>
    <w:p w14:paraId="09D6688D" w14:textId="77777777" w:rsidR="00431B9C" w:rsidRPr="003D717E" w:rsidRDefault="00431B9C" w:rsidP="0049320F">
      <w:pPr>
        <w:spacing w:after="0"/>
        <w:contextualSpacing/>
        <w:rPr>
          <w:rFonts w:cs="Arial"/>
        </w:rPr>
      </w:pPr>
    </w:p>
    <w:p w14:paraId="0175A17F" w14:textId="7CDD3436" w:rsidR="00431B9C" w:rsidRPr="003D717E" w:rsidRDefault="00431B9C" w:rsidP="0049320F">
      <w:pPr>
        <w:spacing w:after="0"/>
        <w:contextualSpacing/>
        <w:rPr>
          <w:rFonts w:cs="Arial"/>
        </w:rPr>
      </w:pPr>
      <w:r w:rsidRPr="003D717E">
        <w:rPr>
          <w:rFonts w:cs="Arial"/>
        </w:rPr>
        <w:t>SEN and Disability is forecast to un</w:t>
      </w:r>
      <w:r w:rsidR="0069067B">
        <w:rPr>
          <w:rFonts w:cs="Arial"/>
        </w:rPr>
        <w:t>derspend by £0.847m in 2016/17.</w:t>
      </w:r>
      <w:r w:rsidRPr="003D717E">
        <w:rPr>
          <w:rFonts w:cs="Arial"/>
        </w:rPr>
        <w:t xml:space="preserve"> </w:t>
      </w:r>
      <w:r w:rsidR="0069067B">
        <w:rPr>
          <w:rFonts w:cs="Arial"/>
        </w:rPr>
        <w:t>This is due to the following:</w:t>
      </w:r>
    </w:p>
    <w:p w14:paraId="18C1486D" w14:textId="77777777" w:rsidR="00431B9C" w:rsidRPr="003D717E" w:rsidRDefault="00431B9C" w:rsidP="0049320F">
      <w:pPr>
        <w:spacing w:after="0"/>
        <w:contextualSpacing/>
        <w:rPr>
          <w:rFonts w:cs="Arial"/>
        </w:rPr>
      </w:pPr>
    </w:p>
    <w:p w14:paraId="4A04356C" w14:textId="77777777" w:rsidR="00431B9C" w:rsidRPr="003D717E" w:rsidRDefault="00431B9C" w:rsidP="0049320F">
      <w:pPr>
        <w:pStyle w:val="ListParagraph"/>
        <w:numPr>
          <w:ilvl w:val="0"/>
          <w:numId w:val="31"/>
        </w:numPr>
        <w:autoSpaceDE/>
        <w:autoSpaceDN/>
        <w:adjustRightInd/>
        <w:spacing w:after="0"/>
        <w:rPr>
          <w:rFonts w:cs="Arial"/>
        </w:rPr>
      </w:pPr>
      <w:r w:rsidRPr="003D717E">
        <w:rPr>
          <w:rFonts w:cs="Arial"/>
        </w:rPr>
        <w:t>Children with Disabilities (</w:t>
      </w:r>
      <w:proofErr w:type="spellStart"/>
      <w:r w:rsidRPr="003D717E">
        <w:rPr>
          <w:rFonts w:cs="Arial"/>
        </w:rPr>
        <w:t>CwD</w:t>
      </w:r>
      <w:proofErr w:type="spellEnd"/>
      <w:r w:rsidRPr="003D717E">
        <w:rPr>
          <w:rFonts w:cs="Arial"/>
        </w:rPr>
        <w:t xml:space="preserve">) Family Support is forecast to underspend by £0.100m.  </w:t>
      </w:r>
    </w:p>
    <w:p w14:paraId="1E823B94" w14:textId="5E340B7C" w:rsidR="00431B9C" w:rsidRPr="0001180A" w:rsidRDefault="00431B9C" w:rsidP="0049320F">
      <w:pPr>
        <w:pStyle w:val="ListParagraph"/>
        <w:numPr>
          <w:ilvl w:val="0"/>
          <w:numId w:val="31"/>
        </w:numPr>
        <w:autoSpaceDE/>
        <w:autoSpaceDN/>
        <w:adjustRightInd/>
        <w:spacing w:after="0"/>
        <w:rPr>
          <w:rFonts w:cs="Arial"/>
        </w:rPr>
      </w:pPr>
      <w:proofErr w:type="spellStart"/>
      <w:r w:rsidRPr="003D717E">
        <w:rPr>
          <w:rFonts w:cs="Arial"/>
        </w:rPr>
        <w:t>CwD</w:t>
      </w:r>
      <w:proofErr w:type="spellEnd"/>
      <w:r w:rsidRPr="003D717E">
        <w:rPr>
          <w:rFonts w:cs="Arial"/>
        </w:rPr>
        <w:t xml:space="preserve"> Placements, which includes in-house fostering payments and residential and foster care placements with external providers, is forecast to underspend by £0.404m.  Of this forecast underspend, £0.295m relates to in-house fostering payments and is in line with the outturn in 2015/16.  Forecast underspends of £0.109m relate to foster care placements and </w:t>
      </w:r>
      <w:r w:rsidR="00254A94">
        <w:rPr>
          <w:rFonts w:cs="Arial"/>
        </w:rPr>
        <w:t xml:space="preserve">is a continuation of </w:t>
      </w:r>
      <w:proofErr w:type="gramStart"/>
      <w:r w:rsidR="00254A94">
        <w:rPr>
          <w:rFonts w:cs="Arial"/>
        </w:rPr>
        <w:t>the underspend</w:t>
      </w:r>
      <w:proofErr w:type="gramEnd"/>
      <w:r w:rsidR="00254A94">
        <w:rPr>
          <w:rFonts w:cs="Arial"/>
        </w:rPr>
        <w:t xml:space="preserve"> reported in 2015/16 albeit at a reduced level. </w:t>
      </w:r>
    </w:p>
    <w:p w14:paraId="05345591" w14:textId="0AF37BB6" w:rsidR="00431B9C" w:rsidRPr="0001180A" w:rsidRDefault="00431B9C" w:rsidP="0049320F">
      <w:pPr>
        <w:pStyle w:val="ListParagraph"/>
        <w:numPr>
          <w:ilvl w:val="0"/>
          <w:numId w:val="31"/>
        </w:numPr>
        <w:autoSpaceDE/>
        <w:autoSpaceDN/>
        <w:adjustRightInd/>
        <w:spacing w:after="160" w:line="259" w:lineRule="auto"/>
        <w:rPr>
          <w:rFonts w:cs="Arial"/>
        </w:rPr>
      </w:pPr>
      <w:r w:rsidRPr="0001180A">
        <w:rPr>
          <w:rFonts w:cs="Arial"/>
        </w:rPr>
        <w:t>Forecast underspends of £0.300m relate to budgeted increases in charges for SLA's with Health for Occupational Therapy and Speech and Language Services which</w:t>
      </w:r>
      <w:r w:rsidR="0001180A">
        <w:rPr>
          <w:rFonts w:cs="Arial"/>
        </w:rPr>
        <w:t xml:space="preserve"> were built in to the MTFS for 2016/17 but are now </w:t>
      </w:r>
      <w:r w:rsidRPr="0001180A">
        <w:rPr>
          <w:rFonts w:cs="Arial"/>
        </w:rPr>
        <w:t xml:space="preserve">not expected to materialise in 2016/17.  </w:t>
      </w:r>
    </w:p>
    <w:p w14:paraId="4A7D48A6" w14:textId="1552CBD1" w:rsidR="0069067B" w:rsidRDefault="00746DE5" w:rsidP="0049320F">
      <w:pPr>
        <w:pStyle w:val="ListParagraph"/>
        <w:numPr>
          <w:ilvl w:val="0"/>
          <w:numId w:val="31"/>
        </w:numPr>
        <w:autoSpaceDE/>
        <w:autoSpaceDN/>
        <w:adjustRightInd/>
        <w:spacing w:after="0"/>
        <w:rPr>
          <w:rFonts w:cs="Arial"/>
        </w:rPr>
      </w:pPr>
      <w:r>
        <w:rPr>
          <w:rFonts w:cs="Arial"/>
        </w:rPr>
        <w:t>Forecast underspends of £0.043</w:t>
      </w:r>
      <w:r w:rsidR="00431B9C" w:rsidRPr="0001180A">
        <w:rPr>
          <w:rFonts w:cs="Arial"/>
        </w:rPr>
        <w:t>m relate to non-staff costs</w:t>
      </w:r>
      <w:r w:rsidR="00431B9C" w:rsidRPr="003D717E">
        <w:rPr>
          <w:rFonts w:cs="Arial"/>
        </w:rPr>
        <w:t xml:space="preserve"> across a number of teams.</w:t>
      </w:r>
    </w:p>
    <w:p w14:paraId="0F507E9B" w14:textId="77777777" w:rsidR="0069067B" w:rsidRDefault="0069067B" w:rsidP="0049320F">
      <w:pPr>
        <w:autoSpaceDE/>
        <w:autoSpaceDN/>
        <w:adjustRightInd/>
        <w:spacing w:after="0"/>
        <w:rPr>
          <w:rFonts w:cs="Arial"/>
        </w:rPr>
      </w:pPr>
    </w:p>
    <w:p w14:paraId="1E15C7A5" w14:textId="26AEDA4D" w:rsidR="0069067B" w:rsidRPr="0069067B" w:rsidRDefault="007465B8" w:rsidP="0049320F">
      <w:pPr>
        <w:autoSpaceDE/>
        <w:autoSpaceDN/>
        <w:adjustRightInd/>
        <w:spacing w:after="0"/>
        <w:rPr>
          <w:rFonts w:cs="Arial"/>
        </w:rPr>
      </w:pPr>
      <w:r w:rsidRPr="0001180A">
        <w:rPr>
          <w:rFonts w:cs="Arial"/>
        </w:rPr>
        <w:t xml:space="preserve">This </w:t>
      </w:r>
      <w:r w:rsidR="00CF5D35" w:rsidRPr="0001180A">
        <w:rPr>
          <w:rFonts w:cs="Arial"/>
        </w:rPr>
        <w:t xml:space="preserve">SEND budget was reduced by £0.301m in 2016/17 to reflect an agreed saving which is forecast to be achieved. </w:t>
      </w:r>
    </w:p>
    <w:p w14:paraId="34EEB1CB" w14:textId="77777777" w:rsidR="00431B9C" w:rsidRPr="003D717E" w:rsidRDefault="00431B9C" w:rsidP="0049320F">
      <w:pPr>
        <w:pStyle w:val="ListParagraph"/>
        <w:spacing w:after="0"/>
        <w:rPr>
          <w:rFonts w:cs="Arial"/>
        </w:rPr>
      </w:pPr>
    </w:p>
    <w:p w14:paraId="4D28ED6F" w14:textId="362991DE" w:rsidR="0069067B" w:rsidRPr="003D717E" w:rsidRDefault="00431B9C" w:rsidP="0049320F">
      <w:pPr>
        <w:spacing w:after="0"/>
        <w:contextualSpacing/>
        <w:rPr>
          <w:rFonts w:cs="Arial"/>
        </w:rPr>
      </w:pPr>
      <w:r w:rsidRPr="003B7DED">
        <w:rPr>
          <w:rFonts w:cs="Arial"/>
        </w:rPr>
        <w:t>The forecast includes the planned application of non-recurrent funding of £0.228m of SEND Implementation/Reform Grant held on the Former CYP DFM General Reserve.</w:t>
      </w:r>
      <w:r w:rsidRPr="003D717E">
        <w:rPr>
          <w:rFonts w:cs="Arial"/>
        </w:rPr>
        <w:t xml:space="preserve">  </w:t>
      </w:r>
    </w:p>
    <w:p w14:paraId="39AE7E84" w14:textId="77777777" w:rsidR="00431B9C" w:rsidRDefault="00431B9C" w:rsidP="0049320F">
      <w:pPr>
        <w:tabs>
          <w:tab w:val="left" w:pos="0"/>
          <w:tab w:val="left" w:pos="1418"/>
        </w:tabs>
        <w:contextualSpacing/>
        <w:rPr>
          <w:rFonts w:cs="Arial"/>
        </w:rPr>
      </w:pPr>
    </w:p>
    <w:p w14:paraId="18F14226" w14:textId="1C08011B" w:rsidR="00AC394A" w:rsidRDefault="00AC394A" w:rsidP="0049320F">
      <w:pPr>
        <w:tabs>
          <w:tab w:val="left" w:pos="851"/>
          <w:tab w:val="left" w:pos="1418"/>
        </w:tabs>
        <w:spacing w:after="0"/>
        <w:ind w:left="855" w:hanging="855"/>
        <w:contextualSpacing/>
        <w:rPr>
          <w:rFonts w:cs="Arial"/>
          <w:b/>
        </w:rPr>
      </w:pPr>
      <w:r>
        <w:rPr>
          <w:rFonts w:cs="Arial"/>
          <w:b/>
        </w:rPr>
        <w:t>3.2</w:t>
      </w:r>
      <w:r w:rsidRPr="003D717E">
        <w:rPr>
          <w:rFonts w:cs="Arial"/>
          <w:b/>
        </w:rPr>
        <w:t>.</w:t>
      </w:r>
      <w:r>
        <w:rPr>
          <w:rFonts w:cs="Arial"/>
          <w:b/>
        </w:rPr>
        <w:t>3</w:t>
      </w:r>
      <w:r>
        <w:rPr>
          <w:rFonts w:cs="Arial"/>
          <w:b/>
        </w:rPr>
        <w:tab/>
        <w:t>S</w:t>
      </w:r>
      <w:r w:rsidRPr="003D717E">
        <w:rPr>
          <w:rFonts w:cs="Arial"/>
          <w:b/>
        </w:rPr>
        <w:t xml:space="preserve">afeguarding, Inspection and Audit </w:t>
      </w:r>
    </w:p>
    <w:p w14:paraId="58187519" w14:textId="77777777" w:rsidR="00AC394A" w:rsidRDefault="00AC394A" w:rsidP="0049320F">
      <w:pPr>
        <w:tabs>
          <w:tab w:val="left" w:pos="851"/>
          <w:tab w:val="left" w:pos="1418"/>
        </w:tabs>
        <w:spacing w:after="0"/>
        <w:ind w:left="855" w:hanging="855"/>
        <w:contextualSpacing/>
        <w:rPr>
          <w:rFonts w:cs="Arial"/>
          <w:b/>
        </w:rPr>
      </w:pPr>
    </w:p>
    <w:p w14:paraId="6D648CFF" w14:textId="77777777" w:rsidR="00AC394A" w:rsidRPr="00BE0890" w:rsidRDefault="00AC394A" w:rsidP="0049320F">
      <w:pPr>
        <w:spacing w:after="0"/>
        <w:contextualSpacing/>
        <w:rPr>
          <w:rFonts w:cs="Arial"/>
        </w:rPr>
      </w:pPr>
      <w:r w:rsidRPr="00BE0890">
        <w:rPr>
          <w:rFonts w:cs="Arial"/>
        </w:rPr>
        <w:t xml:space="preserve">Safeguarding, Inspection and Audit is forecast to underspend by £1.888m in 2016/17.  </w:t>
      </w:r>
    </w:p>
    <w:p w14:paraId="45820161" w14:textId="77777777" w:rsidR="00AC394A" w:rsidRPr="00BE0890" w:rsidRDefault="00AC394A" w:rsidP="0049320F">
      <w:pPr>
        <w:spacing w:after="0"/>
        <w:contextualSpacing/>
        <w:rPr>
          <w:rFonts w:cs="Arial"/>
        </w:rPr>
      </w:pPr>
    </w:p>
    <w:p w14:paraId="277BD210" w14:textId="77777777" w:rsidR="00AC394A" w:rsidRPr="00BE0890" w:rsidRDefault="00AC394A" w:rsidP="0049320F">
      <w:pPr>
        <w:pStyle w:val="ListParagraph"/>
        <w:numPr>
          <w:ilvl w:val="0"/>
          <w:numId w:val="45"/>
        </w:numPr>
        <w:autoSpaceDE/>
        <w:autoSpaceDN/>
        <w:adjustRightInd/>
        <w:spacing w:after="0"/>
        <w:rPr>
          <w:rFonts w:cs="Arial"/>
        </w:rPr>
      </w:pPr>
      <w:r w:rsidRPr="00BE0890">
        <w:rPr>
          <w:rFonts w:cs="Arial"/>
        </w:rPr>
        <w:lastRenderedPageBreak/>
        <w:t>Forecast underspends of £1.923m relate to staff costs across the service (excluding Lancashire Safeguarding Children's Board), of which circa £1.900m relates to vacant additional post Ofsted posts many of which are covered by agency staff for which the costs are included within Children's Social Care. The cost of all agency staff recruited to social work related posts following the Ofsted inspection in 2015/16 and non-staff costs incurred in response to the Ofsted inspection, are recorded against the Children's Social Care budget in order to identify and track additional costs arising from the inspection.</w:t>
      </w:r>
    </w:p>
    <w:p w14:paraId="543671E6" w14:textId="5598D683" w:rsidR="00AC394A" w:rsidRPr="00BE0890" w:rsidRDefault="00746DE5" w:rsidP="0049320F">
      <w:pPr>
        <w:pStyle w:val="ListParagraph"/>
        <w:numPr>
          <w:ilvl w:val="0"/>
          <w:numId w:val="45"/>
        </w:numPr>
        <w:autoSpaceDE/>
        <w:autoSpaceDN/>
        <w:adjustRightInd/>
        <w:spacing w:after="0"/>
        <w:rPr>
          <w:rFonts w:cs="Arial"/>
        </w:rPr>
      </w:pPr>
      <w:r>
        <w:rPr>
          <w:rFonts w:cs="Arial"/>
        </w:rPr>
        <w:t>Forecast overspends of £0.035</w:t>
      </w:r>
      <w:r w:rsidR="00AC394A" w:rsidRPr="00BE0890">
        <w:rPr>
          <w:rFonts w:cs="Arial"/>
        </w:rPr>
        <w:t>m relate to non-staff costs.</w:t>
      </w:r>
    </w:p>
    <w:p w14:paraId="49EE1396" w14:textId="77777777" w:rsidR="00AC394A" w:rsidRPr="00BE0890" w:rsidRDefault="00AC394A" w:rsidP="0049320F">
      <w:pPr>
        <w:spacing w:after="0"/>
        <w:contextualSpacing/>
        <w:rPr>
          <w:rFonts w:cs="Arial"/>
        </w:rPr>
      </w:pPr>
    </w:p>
    <w:p w14:paraId="4D723111" w14:textId="77777777" w:rsidR="00AC394A" w:rsidRPr="00BE0890" w:rsidRDefault="00AC394A" w:rsidP="0049320F">
      <w:pPr>
        <w:spacing w:after="0"/>
        <w:contextualSpacing/>
        <w:rPr>
          <w:rFonts w:cs="Arial"/>
        </w:rPr>
      </w:pPr>
      <w:r w:rsidRPr="00BE0890">
        <w:rPr>
          <w:rFonts w:cs="Arial"/>
        </w:rPr>
        <w:t>The forecast includes the planned application of non-recurrent funding of £0.013m from the Lancashire Safeguarding Children's Board Reserve and £0.100m from the Strategic Investment Reserve to support the Early Response Service.</w:t>
      </w:r>
    </w:p>
    <w:p w14:paraId="1A21ACDC" w14:textId="77777777" w:rsidR="00AC394A" w:rsidRPr="003D717E" w:rsidRDefault="00AC394A" w:rsidP="0049320F">
      <w:pPr>
        <w:tabs>
          <w:tab w:val="left" w:pos="0"/>
          <w:tab w:val="left" w:pos="1418"/>
        </w:tabs>
        <w:contextualSpacing/>
        <w:rPr>
          <w:rFonts w:cs="Arial"/>
        </w:rPr>
      </w:pPr>
    </w:p>
    <w:p w14:paraId="763854C2" w14:textId="30D12F45" w:rsidR="00431B9C" w:rsidRDefault="00622590" w:rsidP="0049320F">
      <w:pPr>
        <w:tabs>
          <w:tab w:val="left" w:pos="851"/>
          <w:tab w:val="left" w:pos="1418"/>
        </w:tabs>
        <w:spacing w:after="0"/>
        <w:ind w:left="855" w:hanging="855"/>
        <w:contextualSpacing/>
        <w:rPr>
          <w:rFonts w:cs="Arial"/>
          <w:b/>
        </w:rPr>
      </w:pPr>
      <w:r>
        <w:rPr>
          <w:rFonts w:cs="Arial"/>
          <w:b/>
        </w:rPr>
        <w:t>3.2</w:t>
      </w:r>
      <w:r w:rsidR="00431B9C" w:rsidRPr="003D717E">
        <w:rPr>
          <w:rFonts w:cs="Arial"/>
          <w:b/>
        </w:rPr>
        <w:t>.4</w:t>
      </w:r>
      <w:r w:rsidR="00431B9C" w:rsidRPr="003D717E">
        <w:rPr>
          <w:rFonts w:cs="Arial"/>
          <w:b/>
        </w:rPr>
        <w:tab/>
      </w:r>
      <w:r w:rsidR="00431B9C" w:rsidRPr="003D717E">
        <w:rPr>
          <w:rFonts w:cs="Arial"/>
          <w:b/>
        </w:rPr>
        <w:tab/>
        <w:t>Adoption, Fostering Residential and YOT</w:t>
      </w:r>
    </w:p>
    <w:p w14:paraId="7436A12B" w14:textId="77777777" w:rsidR="00AC394A" w:rsidRDefault="00AC394A" w:rsidP="0049320F">
      <w:pPr>
        <w:tabs>
          <w:tab w:val="left" w:pos="851"/>
          <w:tab w:val="left" w:pos="1418"/>
        </w:tabs>
        <w:spacing w:after="0"/>
        <w:ind w:left="855" w:hanging="855"/>
        <w:contextualSpacing/>
        <w:rPr>
          <w:rFonts w:cs="Arial"/>
          <w:b/>
        </w:rPr>
      </w:pPr>
    </w:p>
    <w:p w14:paraId="1611254B" w14:textId="77777777" w:rsidR="00AC394A" w:rsidRPr="00BE0890" w:rsidRDefault="00AC394A" w:rsidP="0049320F">
      <w:pPr>
        <w:spacing w:after="0"/>
        <w:contextualSpacing/>
        <w:rPr>
          <w:rFonts w:cs="Arial"/>
        </w:rPr>
      </w:pPr>
      <w:r w:rsidRPr="00BE0890">
        <w:rPr>
          <w:rFonts w:cs="Arial"/>
        </w:rPr>
        <w:t xml:space="preserve">Adoption, Fostering, Residential and YOT is forecast to underspend by £0.659m in 2016/17.  </w:t>
      </w:r>
    </w:p>
    <w:p w14:paraId="2AD07475" w14:textId="77777777" w:rsidR="00AC394A" w:rsidRPr="00BE0890" w:rsidRDefault="00AC394A" w:rsidP="0049320F">
      <w:pPr>
        <w:spacing w:after="0"/>
        <w:contextualSpacing/>
        <w:rPr>
          <w:rFonts w:cs="Arial"/>
        </w:rPr>
      </w:pPr>
    </w:p>
    <w:p w14:paraId="1A10678D" w14:textId="46A55FA7" w:rsidR="00AC394A" w:rsidRPr="00746DE5" w:rsidRDefault="00746DE5" w:rsidP="0049320F">
      <w:pPr>
        <w:pStyle w:val="ListParagraph"/>
        <w:numPr>
          <w:ilvl w:val="0"/>
          <w:numId w:val="46"/>
        </w:numPr>
        <w:autoSpaceDE/>
        <w:autoSpaceDN/>
        <w:adjustRightInd/>
        <w:spacing w:after="0"/>
        <w:rPr>
          <w:rFonts w:cs="Arial"/>
        </w:rPr>
      </w:pPr>
      <w:r w:rsidRPr="00BE0890">
        <w:rPr>
          <w:rFonts w:cs="Arial"/>
        </w:rPr>
        <w:t>Adoption Service is forecast to underspend by £0.610m</w:t>
      </w:r>
      <w:r>
        <w:rPr>
          <w:rFonts w:cs="Arial"/>
        </w:rPr>
        <w:t xml:space="preserve">. </w:t>
      </w:r>
      <w:r w:rsidR="00AC394A" w:rsidRPr="00BE0890">
        <w:rPr>
          <w:rFonts w:cs="Arial"/>
        </w:rPr>
        <w:t xml:space="preserve">Underspends of £0.380m relate to staff costs of which circa £0.230m relates to vacant additional post Ofsted posts many of which are covered by agency staff for which the costs are included within Children's Social Care. </w:t>
      </w:r>
      <w:r w:rsidR="00AC394A" w:rsidRPr="00746DE5">
        <w:rPr>
          <w:rFonts w:cs="Arial"/>
        </w:rPr>
        <w:t xml:space="preserve">Underspends of £0.211m relate to adoption allowances although forecast spend is largely in line with spend in 2015/16 and underspends of £0.038m relate to other non-staff costs offset by overspends of £0.019m on interagency adoption fees.   </w:t>
      </w:r>
    </w:p>
    <w:p w14:paraId="026144CC" w14:textId="764103B3" w:rsidR="00AC394A" w:rsidRPr="00BE0890" w:rsidRDefault="00AC394A" w:rsidP="0049320F">
      <w:pPr>
        <w:pStyle w:val="ListParagraph"/>
        <w:numPr>
          <w:ilvl w:val="0"/>
          <w:numId w:val="46"/>
        </w:numPr>
        <w:autoSpaceDE/>
        <w:autoSpaceDN/>
        <w:adjustRightInd/>
        <w:spacing w:after="0"/>
        <w:rPr>
          <w:rFonts w:cs="Arial"/>
        </w:rPr>
      </w:pPr>
      <w:r w:rsidRPr="00BE0890">
        <w:rPr>
          <w:rFonts w:cs="Arial"/>
        </w:rPr>
        <w:t xml:space="preserve">Overnight Short Breaks Service (ONSB) is forecast to overspend by £0.125m based on spend to date, which largely relates to staff and premises costs and represents a </w:t>
      </w:r>
      <w:r w:rsidR="00254A94">
        <w:rPr>
          <w:rFonts w:cs="Arial"/>
        </w:rPr>
        <w:t xml:space="preserve">under </w:t>
      </w:r>
      <w:r w:rsidRPr="00BE0890">
        <w:rPr>
          <w:rFonts w:cs="Arial"/>
        </w:rPr>
        <w:t>delivery of savings in 2</w:t>
      </w:r>
      <w:r w:rsidR="00CD685E">
        <w:rPr>
          <w:rFonts w:cs="Arial"/>
        </w:rPr>
        <w:t>0</w:t>
      </w:r>
      <w:r w:rsidRPr="00BE0890">
        <w:rPr>
          <w:rFonts w:cs="Arial"/>
        </w:rPr>
        <w:t>16/17.</w:t>
      </w:r>
    </w:p>
    <w:p w14:paraId="6898FEE7" w14:textId="024C2541" w:rsidR="00AC394A" w:rsidRPr="00BE0890" w:rsidRDefault="00AC394A" w:rsidP="0049320F">
      <w:pPr>
        <w:pStyle w:val="ListParagraph"/>
        <w:numPr>
          <w:ilvl w:val="0"/>
          <w:numId w:val="46"/>
        </w:numPr>
        <w:autoSpaceDE/>
        <w:autoSpaceDN/>
        <w:adjustRightInd/>
        <w:spacing w:after="0"/>
        <w:rPr>
          <w:rFonts w:cs="Arial"/>
        </w:rPr>
      </w:pPr>
      <w:r w:rsidRPr="00BE0890">
        <w:rPr>
          <w:rFonts w:cs="Arial"/>
        </w:rPr>
        <w:t xml:space="preserve">Residential In-house Provision is forecast to </w:t>
      </w:r>
      <w:r w:rsidR="00A24664">
        <w:rPr>
          <w:rFonts w:cs="Arial"/>
        </w:rPr>
        <w:t>ove</w:t>
      </w:r>
      <w:r w:rsidRPr="00BE0890">
        <w:rPr>
          <w:rFonts w:cs="Arial"/>
        </w:rPr>
        <w:t>rspend by £0.178m, which largely relates to staff costs.</w:t>
      </w:r>
    </w:p>
    <w:p w14:paraId="5077D7FC" w14:textId="1E4D7537" w:rsidR="00AC394A" w:rsidRPr="00BE0890" w:rsidRDefault="00AC394A" w:rsidP="0049320F">
      <w:pPr>
        <w:pStyle w:val="ListParagraph"/>
        <w:numPr>
          <w:ilvl w:val="0"/>
          <w:numId w:val="46"/>
        </w:numPr>
        <w:autoSpaceDE/>
        <w:autoSpaceDN/>
        <w:adjustRightInd/>
        <w:spacing w:after="0"/>
        <w:rPr>
          <w:rFonts w:cs="Arial"/>
        </w:rPr>
      </w:pPr>
      <w:r w:rsidRPr="00BE0890">
        <w:rPr>
          <w:rFonts w:cs="Arial"/>
        </w:rPr>
        <w:t>In-house Foster Care Allowances is forecast to underspend by £0.122m based on current demand levels.  This is an increase of £0.655m from the outturn in 2015/16 which largely</w:t>
      </w:r>
      <w:r w:rsidR="00E45ED5">
        <w:rPr>
          <w:rFonts w:cs="Arial"/>
        </w:rPr>
        <w:t xml:space="preserve"> reflects an increase of 36 (6.7</w:t>
      </w:r>
      <w:r w:rsidRPr="00BE0890">
        <w:rPr>
          <w:rFonts w:cs="Arial"/>
        </w:rPr>
        <w:t>%) in-house foster care placements from 535 in August 2015 to 571 in March 2016.  Whilst numbers of in-house foster care placement has fallen since March 2016 these are still 2% higher in June 2016 than at the same time in 2015/16.</w:t>
      </w:r>
    </w:p>
    <w:p w14:paraId="20A5B6E4" w14:textId="10F593F6" w:rsidR="00AC394A" w:rsidRPr="00254A94" w:rsidRDefault="00AC394A" w:rsidP="0049320F">
      <w:pPr>
        <w:pStyle w:val="ListParagraph"/>
        <w:numPr>
          <w:ilvl w:val="0"/>
          <w:numId w:val="46"/>
        </w:numPr>
        <w:autoSpaceDE/>
        <w:autoSpaceDN/>
        <w:adjustRightInd/>
        <w:spacing w:after="0"/>
        <w:rPr>
          <w:rFonts w:cs="Arial"/>
        </w:rPr>
      </w:pPr>
      <w:r w:rsidRPr="00BE0890">
        <w:rPr>
          <w:rFonts w:cs="Arial"/>
        </w:rPr>
        <w:t>Forecast underspends of £0.231m largely relate to staff costs as a result of vacancies across a number of teams including the In-house Fostering Service, SCAYT and the Adoption, Fostering, Residential and YOT</w:t>
      </w:r>
      <w:r w:rsidR="00254A94">
        <w:rPr>
          <w:rFonts w:cs="Arial"/>
        </w:rPr>
        <w:t xml:space="preserve"> Management Team.  Of this</w:t>
      </w:r>
      <w:r w:rsidRPr="00254A94">
        <w:rPr>
          <w:rFonts w:cs="Arial"/>
        </w:rPr>
        <w:t xml:space="preserve"> £0.060m relates to vacant additional post Ofsted posts some of which are covered by agency staff for which the costs are included within Children's Social Care.     </w:t>
      </w:r>
    </w:p>
    <w:p w14:paraId="1066023A" w14:textId="77777777" w:rsidR="00AC394A" w:rsidRPr="00BE0890" w:rsidRDefault="00AC394A" w:rsidP="0049320F">
      <w:pPr>
        <w:spacing w:after="0"/>
        <w:contextualSpacing/>
        <w:rPr>
          <w:rFonts w:cs="Arial"/>
        </w:rPr>
      </w:pPr>
    </w:p>
    <w:p w14:paraId="347023CB" w14:textId="3C0055DD" w:rsidR="00AC394A" w:rsidRDefault="00D70C86" w:rsidP="0049320F">
      <w:pPr>
        <w:spacing w:after="0"/>
        <w:contextualSpacing/>
        <w:rPr>
          <w:rFonts w:cs="Arial"/>
        </w:rPr>
      </w:pPr>
      <w:r w:rsidRPr="00FC05C9">
        <w:rPr>
          <w:rFonts w:cs="Arial"/>
        </w:rPr>
        <w:t>Approved savings totalling £0.955</w:t>
      </w:r>
      <w:r>
        <w:rPr>
          <w:rFonts w:cs="Arial"/>
        </w:rPr>
        <w:t xml:space="preserve">m have been removed from this budget. </w:t>
      </w:r>
      <w:r w:rsidRPr="00FC05C9">
        <w:rPr>
          <w:rFonts w:cs="Arial"/>
        </w:rPr>
        <w:t xml:space="preserve"> </w:t>
      </w:r>
      <w:r w:rsidR="00AC394A" w:rsidRPr="00BE0890">
        <w:rPr>
          <w:rFonts w:cs="Arial"/>
        </w:rPr>
        <w:t>The forecast includes the planned application of non-recurrent funding of £0.262m for the Transitional Reserves to cover staff costs, £0.160m also from the Transitional Reserve to cover the impact of reductions to the Youth Justice Board Grant in 2016/17 and £0.010 from the YOT – General Youth Offending Reserve.</w:t>
      </w:r>
    </w:p>
    <w:p w14:paraId="0371F143" w14:textId="77777777" w:rsidR="00FC05C9" w:rsidRDefault="00FC05C9" w:rsidP="0049320F">
      <w:pPr>
        <w:tabs>
          <w:tab w:val="left" w:pos="851"/>
          <w:tab w:val="left" w:pos="1418"/>
        </w:tabs>
        <w:spacing w:after="0"/>
        <w:rPr>
          <w:rFonts w:cs="Arial"/>
        </w:rPr>
      </w:pPr>
    </w:p>
    <w:p w14:paraId="125F2065" w14:textId="77777777" w:rsidR="00D70C86" w:rsidRDefault="00D70C86" w:rsidP="0049320F">
      <w:pPr>
        <w:tabs>
          <w:tab w:val="left" w:pos="851"/>
          <w:tab w:val="left" w:pos="1418"/>
        </w:tabs>
        <w:spacing w:after="0"/>
        <w:rPr>
          <w:rFonts w:cs="Arial"/>
        </w:rPr>
      </w:pPr>
    </w:p>
    <w:p w14:paraId="6EA6D5CD" w14:textId="77777777" w:rsidR="00AC394A" w:rsidRDefault="00AC394A" w:rsidP="0049320F">
      <w:pPr>
        <w:tabs>
          <w:tab w:val="left" w:pos="851"/>
          <w:tab w:val="left" w:pos="1418"/>
        </w:tabs>
        <w:spacing w:after="0"/>
        <w:ind w:left="855" w:hanging="855"/>
        <w:contextualSpacing/>
        <w:rPr>
          <w:rFonts w:cs="Arial"/>
          <w:b/>
        </w:rPr>
      </w:pPr>
    </w:p>
    <w:p w14:paraId="73EAD0F4" w14:textId="77777777" w:rsidR="00D70C86" w:rsidRDefault="00D70C86" w:rsidP="0049320F">
      <w:pPr>
        <w:tabs>
          <w:tab w:val="left" w:pos="851"/>
          <w:tab w:val="left" w:pos="1418"/>
        </w:tabs>
        <w:spacing w:after="0"/>
        <w:ind w:left="855" w:hanging="855"/>
        <w:contextualSpacing/>
        <w:rPr>
          <w:rFonts w:cs="Arial"/>
          <w:b/>
        </w:rPr>
      </w:pPr>
    </w:p>
    <w:p w14:paraId="6A188944" w14:textId="1CD5C3BE" w:rsidR="00431B9C" w:rsidRDefault="00AC394A" w:rsidP="0049320F">
      <w:pPr>
        <w:tabs>
          <w:tab w:val="left" w:pos="851"/>
          <w:tab w:val="left" w:pos="1418"/>
        </w:tabs>
        <w:spacing w:after="0"/>
        <w:ind w:left="855" w:hanging="855"/>
        <w:contextualSpacing/>
        <w:rPr>
          <w:rFonts w:cs="Arial"/>
          <w:b/>
        </w:rPr>
      </w:pPr>
      <w:r>
        <w:rPr>
          <w:rFonts w:cs="Arial"/>
          <w:b/>
        </w:rPr>
        <w:t>3.2</w:t>
      </w:r>
      <w:r w:rsidRPr="003D717E">
        <w:rPr>
          <w:rFonts w:cs="Arial"/>
          <w:b/>
        </w:rPr>
        <w:t>.</w:t>
      </w:r>
      <w:r>
        <w:rPr>
          <w:rFonts w:cs="Arial"/>
          <w:b/>
        </w:rPr>
        <w:t>5</w:t>
      </w:r>
      <w:r w:rsidRPr="003D717E">
        <w:rPr>
          <w:rFonts w:cs="Arial"/>
          <w:b/>
        </w:rPr>
        <w:tab/>
      </w:r>
      <w:r w:rsidRPr="003D717E">
        <w:rPr>
          <w:rFonts w:cs="Arial"/>
          <w:b/>
        </w:rPr>
        <w:tab/>
      </w:r>
      <w:r>
        <w:rPr>
          <w:rFonts w:cs="Arial"/>
          <w:b/>
        </w:rPr>
        <w:t>Childrens Social Care</w:t>
      </w:r>
    </w:p>
    <w:p w14:paraId="3B635EF9" w14:textId="77777777" w:rsidR="00AC394A" w:rsidRPr="00161FFE" w:rsidRDefault="00AC394A" w:rsidP="0049320F">
      <w:pPr>
        <w:tabs>
          <w:tab w:val="left" w:pos="851"/>
          <w:tab w:val="left" w:pos="1418"/>
        </w:tabs>
        <w:spacing w:after="0"/>
        <w:ind w:left="855" w:hanging="855"/>
        <w:contextualSpacing/>
        <w:rPr>
          <w:rFonts w:cs="Arial"/>
          <w:b/>
        </w:rPr>
      </w:pPr>
    </w:p>
    <w:p w14:paraId="0D294E99" w14:textId="797BDA43" w:rsidR="00AC394A" w:rsidRPr="00161FFE" w:rsidRDefault="00AC394A" w:rsidP="0049320F">
      <w:pPr>
        <w:spacing w:after="0"/>
        <w:contextualSpacing/>
        <w:rPr>
          <w:rFonts w:cs="Arial"/>
        </w:rPr>
      </w:pPr>
      <w:r w:rsidRPr="00161FFE">
        <w:rPr>
          <w:rFonts w:cs="Arial"/>
        </w:rPr>
        <w:t>Children's Social Care is forecast to overspend by £1</w:t>
      </w:r>
      <w:r w:rsidR="0099516C" w:rsidRPr="00161FFE">
        <w:rPr>
          <w:rFonts w:cs="Arial"/>
        </w:rPr>
        <w:t>5.261</w:t>
      </w:r>
      <w:r w:rsidRPr="00161FFE">
        <w:rPr>
          <w:rFonts w:cs="Arial"/>
        </w:rPr>
        <w:t>m in 2016/17.</w:t>
      </w:r>
    </w:p>
    <w:p w14:paraId="04B8EC92" w14:textId="77777777" w:rsidR="00AC394A" w:rsidRPr="00161FFE" w:rsidRDefault="00AC394A" w:rsidP="0049320F">
      <w:pPr>
        <w:spacing w:after="0"/>
        <w:contextualSpacing/>
        <w:rPr>
          <w:rFonts w:cs="Arial"/>
        </w:rPr>
      </w:pPr>
    </w:p>
    <w:p w14:paraId="1F7145D6" w14:textId="48854E85" w:rsidR="0099516C" w:rsidRPr="00161FFE" w:rsidRDefault="00AC394A" w:rsidP="0049320F">
      <w:pPr>
        <w:pStyle w:val="ListParagraph"/>
        <w:numPr>
          <w:ilvl w:val="0"/>
          <w:numId w:val="32"/>
        </w:numPr>
        <w:autoSpaceDE/>
        <w:autoSpaceDN/>
        <w:adjustRightInd/>
        <w:spacing w:after="0"/>
        <w:rPr>
          <w:rFonts w:cs="Arial"/>
        </w:rPr>
      </w:pPr>
      <w:r w:rsidRPr="00161FFE">
        <w:rPr>
          <w:rFonts w:cs="Arial"/>
        </w:rPr>
        <w:t>Social Work Staff is forecast to overspend by £6.</w:t>
      </w:r>
      <w:r w:rsidR="00B23547" w:rsidRPr="00161FFE">
        <w:rPr>
          <w:rFonts w:cs="Arial"/>
        </w:rPr>
        <w:t>070</w:t>
      </w:r>
      <w:r w:rsidRPr="00161FFE">
        <w:rPr>
          <w:rFonts w:cs="Arial"/>
        </w:rPr>
        <w:t xml:space="preserve">m. </w:t>
      </w:r>
    </w:p>
    <w:p w14:paraId="6C42DF52" w14:textId="77777777" w:rsidR="0099516C" w:rsidRPr="00161FFE" w:rsidRDefault="0099516C" w:rsidP="0049320F">
      <w:pPr>
        <w:pStyle w:val="ListParagraph"/>
        <w:autoSpaceDE/>
        <w:autoSpaceDN/>
        <w:adjustRightInd/>
        <w:spacing w:after="0"/>
        <w:rPr>
          <w:rFonts w:cs="Arial"/>
        </w:rPr>
      </w:pPr>
    </w:p>
    <w:p w14:paraId="2E152F24" w14:textId="01655433" w:rsidR="00AC394A" w:rsidRPr="00161FFE" w:rsidRDefault="00AC394A" w:rsidP="0049320F">
      <w:pPr>
        <w:pStyle w:val="ListParagraph"/>
        <w:numPr>
          <w:ilvl w:val="1"/>
          <w:numId w:val="32"/>
        </w:numPr>
        <w:autoSpaceDE/>
        <w:autoSpaceDN/>
        <w:adjustRightInd/>
        <w:spacing w:after="0"/>
        <w:rPr>
          <w:rFonts w:cs="Arial"/>
        </w:rPr>
      </w:pPr>
      <w:r w:rsidRPr="00161FFE">
        <w:rPr>
          <w:rFonts w:cs="Arial"/>
        </w:rPr>
        <w:t>Overspends of £4.</w:t>
      </w:r>
      <w:r w:rsidR="0099516C" w:rsidRPr="00161FFE">
        <w:rPr>
          <w:rFonts w:cs="Arial"/>
        </w:rPr>
        <w:t>613</w:t>
      </w:r>
      <w:r w:rsidRPr="00161FFE">
        <w:rPr>
          <w:rFonts w:cs="Arial"/>
        </w:rPr>
        <w:t xml:space="preserve">m relate to staff costs which includes agency staff covering vacant posts, additional temporary agency staff required for 12 months to increase capacity in children's social care and temporary </w:t>
      </w:r>
      <w:proofErr w:type="spellStart"/>
      <w:r w:rsidRPr="00161FFE">
        <w:rPr>
          <w:rFonts w:cs="Arial"/>
        </w:rPr>
        <w:t>workstarts</w:t>
      </w:r>
      <w:proofErr w:type="spellEnd"/>
      <w:r w:rsidRPr="00161FFE">
        <w:rPr>
          <w:rFonts w:cs="Arial"/>
        </w:rPr>
        <w:t xml:space="preserve"> required for 3 months to provide business support to Project Accuracy</w:t>
      </w:r>
      <w:r w:rsidR="00254A94" w:rsidRPr="00161FFE">
        <w:rPr>
          <w:rFonts w:cs="Arial"/>
        </w:rPr>
        <w:t>,</w:t>
      </w:r>
      <w:r w:rsidRPr="00161FFE">
        <w:rPr>
          <w:rFonts w:cs="Arial"/>
        </w:rPr>
        <w:t xml:space="preserve"> in order to implement the agreed actions detailed in the Lancashire Children's Services Improvement Plan following the Ofsted inspection.    Of this circa £2.190m is offset by underspends on staff within Safeguarding, Inspection and Audit Service and Adoption Fostering, Residential and YOT Service.  It is anticipated that this overspend will reduce following a recent recruitment campaign and a further planned recruitment campaign later in the year, as vacant posts are filled by permanent staff reducing the need to cover posts with agency staff which are more expensive.</w:t>
      </w:r>
    </w:p>
    <w:p w14:paraId="3FB709E0" w14:textId="77777777" w:rsidR="0099516C" w:rsidRPr="00161FFE" w:rsidRDefault="0099516C" w:rsidP="0049320F">
      <w:pPr>
        <w:pStyle w:val="ListParagraph"/>
        <w:autoSpaceDE/>
        <w:autoSpaceDN/>
        <w:adjustRightInd/>
        <w:spacing w:after="0"/>
        <w:ind w:left="1440"/>
        <w:rPr>
          <w:rFonts w:cs="Arial"/>
        </w:rPr>
      </w:pPr>
    </w:p>
    <w:p w14:paraId="4C03A1C5" w14:textId="275BE3CC" w:rsidR="0099516C" w:rsidRPr="00161FFE" w:rsidRDefault="0099516C" w:rsidP="0049320F">
      <w:pPr>
        <w:pStyle w:val="ListParagraph"/>
        <w:numPr>
          <w:ilvl w:val="1"/>
          <w:numId w:val="32"/>
        </w:numPr>
        <w:autoSpaceDE/>
        <w:autoSpaceDN/>
        <w:adjustRightInd/>
        <w:spacing w:after="0"/>
        <w:rPr>
          <w:rFonts w:cs="Arial"/>
        </w:rPr>
      </w:pPr>
      <w:r w:rsidRPr="00161FFE">
        <w:rPr>
          <w:rFonts w:cs="Arial"/>
        </w:rPr>
        <w:t xml:space="preserve">Overspends of £1.396m relate to a number of other expenses arising as a result of work undertaken in response </w:t>
      </w:r>
      <w:r w:rsidR="00254A94" w:rsidRPr="00161FFE">
        <w:rPr>
          <w:rFonts w:cs="Arial"/>
        </w:rPr>
        <w:t xml:space="preserve">to </w:t>
      </w:r>
      <w:r w:rsidRPr="00161FFE">
        <w:rPr>
          <w:rFonts w:cs="Arial"/>
        </w:rPr>
        <w:t xml:space="preserve">the Ofsted inspection.  The majority of the additional £5.000m included in the budget in 2016/17 following the Ofsted inspection, circa £4.400m, was budgeted to cover staff costs, with the remaining amount, circa £0.600m, budgeted to cover various non-staff costs, consultant and professional fees.  The forecast includes one-off spend of £1.760m for Children's Social Care Referral and Assessment Service Framework, £0.168m for children in need assessments undertaken by an external social work provider in 2016/17 and £0.101m for consultant and professional fees. </w:t>
      </w:r>
    </w:p>
    <w:p w14:paraId="17137F3A" w14:textId="77777777" w:rsidR="0099516C" w:rsidRPr="00161FFE" w:rsidRDefault="0099516C" w:rsidP="0049320F">
      <w:pPr>
        <w:pStyle w:val="ListParagraph"/>
        <w:rPr>
          <w:rFonts w:cs="Arial"/>
        </w:rPr>
      </w:pPr>
    </w:p>
    <w:p w14:paraId="413E3E2A" w14:textId="1D5774C9" w:rsidR="0099516C" w:rsidRPr="00161FFE" w:rsidRDefault="0099516C" w:rsidP="0049320F">
      <w:pPr>
        <w:pStyle w:val="ListParagraph"/>
        <w:numPr>
          <w:ilvl w:val="1"/>
          <w:numId w:val="32"/>
        </w:numPr>
        <w:autoSpaceDE/>
        <w:autoSpaceDN/>
        <w:adjustRightInd/>
        <w:spacing w:after="0"/>
        <w:rPr>
          <w:rFonts w:cs="Arial"/>
        </w:rPr>
      </w:pPr>
      <w:r w:rsidRPr="00161FFE">
        <w:rPr>
          <w:rFonts w:cs="Arial"/>
        </w:rPr>
        <w:t>Overspends of £0.060m relate to non-staff costs</w:t>
      </w:r>
    </w:p>
    <w:p w14:paraId="330E02AB" w14:textId="77777777" w:rsidR="00AC394A" w:rsidRPr="00161FFE" w:rsidRDefault="00AC394A" w:rsidP="0049320F">
      <w:pPr>
        <w:autoSpaceDE/>
        <w:autoSpaceDN/>
        <w:adjustRightInd/>
        <w:spacing w:after="0"/>
        <w:rPr>
          <w:rFonts w:cs="Arial"/>
        </w:rPr>
      </w:pPr>
    </w:p>
    <w:p w14:paraId="45585E3A" w14:textId="274AA013" w:rsidR="00AC394A" w:rsidRPr="00161FFE" w:rsidRDefault="00AC394A" w:rsidP="0049320F">
      <w:pPr>
        <w:pStyle w:val="ListParagraph"/>
        <w:numPr>
          <w:ilvl w:val="0"/>
          <w:numId w:val="32"/>
        </w:numPr>
        <w:autoSpaceDE/>
        <w:autoSpaceDN/>
        <w:adjustRightInd/>
        <w:spacing w:after="0"/>
        <w:rPr>
          <w:rFonts w:cs="Arial"/>
        </w:rPr>
      </w:pPr>
      <w:r w:rsidRPr="00161FFE">
        <w:rPr>
          <w:rFonts w:cs="Arial"/>
        </w:rPr>
        <w:t>Children's Social Care Placements, which includes fostering and residential placements with external providers, Special Guardianship Orders (SGO's), Child Arrangement Orders (CAO's) and in-house fostering payments, is</w:t>
      </w:r>
      <w:r w:rsidR="00A24664" w:rsidRPr="00161FFE">
        <w:rPr>
          <w:rFonts w:cs="Arial"/>
        </w:rPr>
        <w:t xml:space="preserve"> forecast to overspend by £10.340</w:t>
      </w:r>
      <w:r w:rsidRPr="00161FFE">
        <w:rPr>
          <w:rFonts w:cs="Arial"/>
        </w:rPr>
        <w:t xml:space="preserve">m.  </w:t>
      </w:r>
    </w:p>
    <w:p w14:paraId="20C08C6F" w14:textId="77777777" w:rsidR="005165D2" w:rsidRPr="00161FFE" w:rsidRDefault="005165D2" w:rsidP="0049320F">
      <w:pPr>
        <w:pStyle w:val="ListParagraph"/>
        <w:rPr>
          <w:rFonts w:cs="Arial"/>
        </w:rPr>
      </w:pPr>
    </w:p>
    <w:p w14:paraId="41BA405F" w14:textId="3B79784E" w:rsidR="005165D2" w:rsidRPr="00161FFE" w:rsidRDefault="005165D2" w:rsidP="0049320F">
      <w:pPr>
        <w:pStyle w:val="ListParagraph"/>
        <w:numPr>
          <w:ilvl w:val="1"/>
          <w:numId w:val="32"/>
        </w:numPr>
        <w:autoSpaceDE/>
        <w:autoSpaceDN/>
        <w:adjustRightInd/>
        <w:spacing w:after="0"/>
        <w:rPr>
          <w:rFonts w:cs="Arial"/>
        </w:rPr>
      </w:pPr>
      <w:r w:rsidRPr="00161FFE">
        <w:rPr>
          <w:rFonts w:cs="Arial"/>
        </w:rPr>
        <w:t xml:space="preserve">Forecast overspends of £7.311m relate to agency residential placements. </w:t>
      </w:r>
      <w:r w:rsidR="00122484" w:rsidRPr="00161FFE">
        <w:rPr>
          <w:rFonts w:cs="Arial"/>
        </w:rPr>
        <w:t xml:space="preserve"> Placements have increased by 62 (46</w:t>
      </w:r>
      <w:r w:rsidRPr="00161FFE">
        <w:rPr>
          <w:rFonts w:cs="Arial"/>
        </w:rPr>
        <w:t xml:space="preserve">%) placements from 135 in November 2015 to </w:t>
      </w:r>
      <w:r w:rsidR="00122484" w:rsidRPr="00161FFE">
        <w:rPr>
          <w:rFonts w:cs="Arial"/>
        </w:rPr>
        <w:t>197 in June</w:t>
      </w:r>
      <w:r w:rsidR="00254A94" w:rsidRPr="00161FFE">
        <w:rPr>
          <w:rFonts w:cs="Arial"/>
        </w:rPr>
        <w:t xml:space="preserve"> 2016</w:t>
      </w:r>
      <w:r w:rsidRPr="00161FFE">
        <w:rPr>
          <w:rFonts w:cs="Arial"/>
        </w:rPr>
        <w:t xml:space="preserve">.  The forecast is based on available financial and activity information and assumes that placements will increase by 0.8% per month for the remainder of the financial year based on historic trends.  Work is underway to review the underlying reasons for increases in numbers of placements and to estimate likely future changes in demand.  The capacity of a number of in-house residential units is limited due to the placement of young people with increasingly complex needs that require high staff to child ratio's to support.  Consequently young people who would otherwise have been placed in these units have been placed with external providers.  </w:t>
      </w:r>
      <w:r w:rsidR="00CB3546" w:rsidRPr="00161FFE">
        <w:rPr>
          <w:rFonts w:cs="Arial"/>
        </w:rPr>
        <w:t>In June</w:t>
      </w:r>
      <w:r w:rsidRPr="00161FFE">
        <w:rPr>
          <w:rFonts w:cs="Arial"/>
        </w:rPr>
        <w:t xml:space="preserve"> there were 15 vacancies within in-house residential units, alt</w:t>
      </w:r>
      <w:r w:rsidR="00122484" w:rsidRPr="00161FFE">
        <w:rPr>
          <w:rFonts w:cs="Arial"/>
        </w:rPr>
        <w:t>hough this reflects</w:t>
      </w:r>
      <w:r w:rsidRPr="00161FFE">
        <w:rPr>
          <w:rFonts w:cs="Arial"/>
        </w:rPr>
        <w:t xml:space="preserve"> that 2 units are now operating </w:t>
      </w:r>
      <w:r w:rsidR="00122484" w:rsidRPr="00161FFE">
        <w:rPr>
          <w:rFonts w:cs="Arial"/>
        </w:rPr>
        <w:t xml:space="preserve">necessarily operating </w:t>
      </w:r>
      <w:r w:rsidRPr="00161FFE">
        <w:rPr>
          <w:rFonts w:cs="Arial"/>
        </w:rPr>
        <w:t xml:space="preserve">as 2-3 rather than 6 bed units.  It is likely </w:t>
      </w:r>
      <w:r w:rsidRPr="00161FFE">
        <w:rPr>
          <w:rFonts w:cs="Arial"/>
        </w:rPr>
        <w:lastRenderedPageBreak/>
        <w:t xml:space="preserve">that demand has been </w:t>
      </w:r>
      <w:r w:rsidR="00122484" w:rsidRPr="00161FFE">
        <w:rPr>
          <w:rFonts w:cs="Arial"/>
        </w:rPr>
        <w:t>a</w:t>
      </w:r>
      <w:r w:rsidRPr="00161FFE">
        <w:rPr>
          <w:rFonts w:cs="Arial"/>
        </w:rPr>
        <w:t xml:space="preserve">ffected by work undertaken following the Ofsted inspection, although the pathway diagnostic work currently underway has already identified some potential for efficiencies which could reduce costs in the future without affecting levels of service delivery.  </w:t>
      </w:r>
    </w:p>
    <w:p w14:paraId="214440EC" w14:textId="77777777" w:rsidR="005165D2" w:rsidRPr="00161FFE" w:rsidRDefault="005165D2" w:rsidP="0049320F">
      <w:pPr>
        <w:pStyle w:val="ListParagraph"/>
        <w:autoSpaceDE/>
        <w:autoSpaceDN/>
        <w:adjustRightInd/>
        <w:spacing w:after="0"/>
        <w:ind w:left="1440"/>
        <w:rPr>
          <w:rFonts w:cs="Arial"/>
        </w:rPr>
      </w:pPr>
    </w:p>
    <w:p w14:paraId="527B715B" w14:textId="45172ED3" w:rsidR="005165D2" w:rsidRPr="00161FFE" w:rsidRDefault="005165D2" w:rsidP="0049320F">
      <w:pPr>
        <w:pStyle w:val="ListParagraph"/>
        <w:numPr>
          <w:ilvl w:val="1"/>
          <w:numId w:val="32"/>
        </w:numPr>
        <w:autoSpaceDE/>
        <w:autoSpaceDN/>
        <w:adjustRightInd/>
        <w:spacing w:after="0"/>
        <w:rPr>
          <w:rFonts w:cs="Arial"/>
        </w:rPr>
      </w:pPr>
      <w:r w:rsidRPr="00161FFE">
        <w:rPr>
          <w:rFonts w:cs="Arial"/>
        </w:rPr>
        <w:t>Forecast overspends of £2.305m relate to agency fostering placements.  Placements have increased by 5</w:t>
      </w:r>
      <w:r w:rsidR="00122484" w:rsidRPr="00161FFE">
        <w:rPr>
          <w:rFonts w:cs="Arial"/>
        </w:rPr>
        <w:t>2 (13</w:t>
      </w:r>
      <w:r w:rsidRPr="00161FFE">
        <w:rPr>
          <w:rFonts w:cs="Arial"/>
        </w:rPr>
        <w:t>%) placements from 392 in October 2015 to 44</w:t>
      </w:r>
      <w:r w:rsidR="00122484" w:rsidRPr="00161FFE">
        <w:rPr>
          <w:rFonts w:cs="Arial"/>
        </w:rPr>
        <w:t>4 in June</w:t>
      </w:r>
      <w:r w:rsidRPr="00161FFE">
        <w:rPr>
          <w:rFonts w:cs="Arial"/>
        </w:rPr>
        <w:t xml:space="preserve"> 2016.  The forecast is based on available financial and activity information and assumes that placements will increase by 0.8% per month for the remainder of the financial year based on historic trends.  Again work is underway to review the underlying reasons for increases in numbers of placements and to estimate likely future changes in demand. </w:t>
      </w:r>
    </w:p>
    <w:p w14:paraId="01F73F16" w14:textId="77777777" w:rsidR="005165D2" w:rsidRPr="00161FFE" w:rsidRDefault="005165D2" w:rsidP="0049320F">
      <w:pPr>
        <w:pStyle w:val="ListParagraph"/>
        <w:rPr>
          <w:rFonts w:cs="Arial"/>
        </w:rPr>
      </w:pPr>
    </w:p>
    <w:p w14:paraId="1827434A" w14:textId="77777777" w:rsidR="00AC394A" w:rsidRPr="00161FFE" w:rsidRDefault="00AC394A" w:rsidP="0049320F">
      <w:pPr>
        <w:pStyle w:val="ListParagraph"/>
        <w:numPr>
          <w:ilvl w:val="1"/>
          <w:numId w:val="32"/>
        </w:numPr>
        <w:autoSpaceDE/>
        <w:autoSpaceDN/>
        <w:adjustRightInd/>
        <w:spacing w:after="0"/>
        <w:rPr>
          <w:rFonts w:cs="Arial"/>
        </w:rPr>
      </w:pPr>
      <w:r w:rsidRPr="00161FFE">
        <w:rPr>
          <w:rFonts w:cs="Arial"/>
        </w:rPr>
        <w:t xml:space="preserve">Overspends of £0.712m relate to numbers of SGO's which continue to increase offset by underspends of £0.315m on CAO's. </w:t>
      </w:r>
    </w:p>
    <w:p w14:paraId="622B7F66" w14:textId="77777777" w:rsidR="00C75F0E" w:rsidRPr="00161FFE" w:rsidRDefault="00C75F0E" w:rsidP="00C75F0E">
      <w:pPr>
        <w:autoSpaceDE/>
        <w:autoSpaceDN/>
        <w:adjustRightInd/>
        <w:spacing w:after="0"/>
        <w:rPr>
          <w:rFonts w:cs="Arial"/>
        </w:rPr>
      </w:pPr>
    </w:p>
    <w:p w14:paraId="354D1B11" w14:textId="77777777" w:rsidR="00AC394A" w:rsidRPr="00161FFE" w:rsidRDefault="00AC394A" w:rsidP="0049320F">
      <w:pPr>
        <w:pStyle w:val="ListParagraph"/>
        <w:numPr>
          <w:ilvl w:val="1"/>
          <w:numId w:val="32"/>
        </w:numPr>
        <w:autoSpaceDE/>
        <w:autoSpaceDN/>
        <w:adjustRightInd/>
        <w:spacing w:after="0"/>
        <w:rPr>
          <w:rFonts w:cs="Arial"/>
        </w:rPr>
      </w:pPr>
      <w:r w:rsidRPr="00161FFE">
        <w:rPr>
          <w:rFonts w:cs="Arial"/>
        </w:rPr>
        <w:t xml:space="preserve">Net overspends of £0.012, relate to agency remand and in-house residential and fostering payments.   </w:t>
      </w:r>
    </w:p>
    <w:p w14:paraId="74EBB4FE" w14:textId="77777777" w:rsidR="00A24664" w:rsidRPr="00161FFE" w:rsidRDefault="00A24664" w:rsidP="0049320F">
      <w:pPr>
        <w:pStyle w:val="ListParagraph"/>
        <w:autoSpaceDE/>
        <w:autoSpaceDN/>
        <w:adjustRightInd/>
        <w:spacing w:after="0"/>
        <w:ind w:left="1440"/>
        <w:rPr>
          <w:rFonts w:cs="Arial"/>
        </w:rPr>
      </w:pPr>
    </w:p>
    <w:p w14:paraId="6A1422F4" w14:textId="77777777" w:rsidR="00AC394A" w:rsidRPr="00161FFE" w:rsidRDefault="00AC394A" w:rsidP="0049320F">
      <w:pPr>
        <w:pStyle w:val="ListParagraph"/>
        <w:numPr>
          <w:ilvl w:val="0"/>
          <w:numId w:val="32"/>
        </w:numPr>
        <w:autoSpaceDE/>
        <w:autoSpaceDN/>
        <w:adjustRightInd/>
        <w:spacing w:after="0"/>
        <w:rPr>
          <w:rFonts w:cs="Arial"/>
        </w:rPr>
      </w:pPr>
      <w:r w:rsidRPr="00161FFE">
        <w:rPr>
          <w:rFonts w:cs="Arial"/>
        </w:rPr>
        <w:t>Underspends of £0.360m are forecast for Family Support and include assistance to families and regular payments, based on spend to date.</w:t>
      </w:r>
    </w:p>
    <w:p w14:paraId="218DEB4B" w14:textId="77777777" w:rsidR="00AC394A" w:rsidRPr="00161FFE" w:rsidRDefault="00AC394A" w:rsidP="0049320F">
      <w:pPr>
        <w:pStyle w:val="ListParagraph"/>
        <w:numPr>
          <w:ilvl w:val="0"/>
          <w:numId w:val="32"/>
        </w:numPr>
        <w:autoSpaceDE/>
        <w:autoSpaceDN/>
        <w:adjustRightInd/>
        <w:spacing w:after="0"/>
        <w:rPr>
          <w:rFonts w:cs="Arial"/>
        </w:rPr>
      </w:pPr>
      <w:r w:rsidRPr="00161FFE">
        <w:rPr>
          <w:rFonts w:cs="Arial"/>
        </w:rPr>
        <w:t xml:space="preserve">Forecast underspends of £0.296m relate to financial assistance for care leavers.  </w:t>
      </w:r>
    </w:p>
    <w:p w14:paraId="6A45AF4E" w14:textId="4382356D" w:rsidR="0099516C" w:rsidRPr="00161FFE" w:rsidRDefault="00356E64" w:rsidP="0049320F">
      <w:pPr>
        <w:pStyle w:val="ListParagraph"/>
        <w:numPr>
          <w:ilvl w:val="0"/>
          <w:numId w:val="32"/>
        </w:numPr>
        <w:autoSpaceDE/>
        <w:autoSpaceDN/>
        <w:adjustRightInd/>
        <w:spacing w:after="0"/>
        <w:rPr>
          <w:rFonts w:cs="Arial"/>
        </w:rPr>
      </w:pPr>
      <w:r w:rsidRPr="00161FFE">
        <w:rPr>
          <w:rFonts w:cs="Arial"/>
        </w:rPr>
        <w:t>Further under</w:t>
      </w:r>
      <w:r w:rsidR="0099516C" w:rsidRPr="00161FFE">
        <w:rPr>
          <w:rFonts w:cs="Arial"/>
        </w:rPr>
        <w:t>spends of £0.179 relate to a number of items including Children's Social Care Management staff costs and DBS costs.</w:t>
      </w:r>
    </w:p>
    <w:p w14:paraId="3303C712" w14:textId="77777777" w:rsidR="00AC394A" w:rsidRPr="00161FFE" w:rsidRDefault="00AC394A" w:rsidP="0049320F">
      <w:pPr>
        <w:spacing w:after="0"/>
        <w:contextualSpacing/>
        <w:rPr>
          <w:rFonts w:cs="Arial"/>
        </w:rPr>
      </w:pPr>
    </w:p>
    <w:p w14:paraId="32F8C7CB" w14:textId="77777777" w:rsidR="00AC394A" w:rsidRPr="00161FFE" w:rsidRDefault="00AC394A" w:rsidP="0049320F">
      <w:pPr>
        <w:spacing w:after="0"/>
        <w:contextualSpacing/>
        <w:rPr>
          <w:rFonts w:cs="Arial"/>
        </w:rPr>
      </w:pPr>
      <w:r w:rsidRPr="00161FFE">
        <w:rPr>
          <w:rFonts w:cs="Arial"/>
        </w:rPr>
        <w:t>The forecast includes the planned application of non-recurrent funding of £0.260m from the Risk Management Reserve to cover the cost of the LCC Children's Priority Reporting on LCS contract with Newton's (Project Accuracy), £0.241m from the Transitional Reserve to fund the cost of the Transformation of Children's Services Pathways in Lancashire Assessment/Diagnostic based on payments made to date and £0.200m from the Former CYP DFM General Reserve to fund risk assessment training and models and quality assurance, auditing and training costs.</w:t>
      </w:r>
    </w:p>
    <w:p w14:paraId="01F3DB4B" w14:textId="77777777" w:rsidR="007465B8" w:rsidRPr="00161FFE" w:rsidRDefault="007465B8" w:rsidP="0049320F">
      <w:pPr>
        <w:tabs>
          <w:tab w:val="left" w:pos="851"/>
          <w:tab w:val="left" w:pos="1418"/>
        </w:tabs>
        <w:spacing w:after="0"/>
        <w:rPr>
          <w:rFonts w:cs="Arial"/>
        </w:rPr>
      </w:pPr>
    </w:p>
    <w:p w14:paraId="4F300F8F" w14:textId="6A1B2C2A" w:rsidR="007465B8" w:rsidRPr="00161FFE" w:rsidRDefault="00240B58" w:rsidP="0049320F">
      <w:pPr>
        <w:tabs>
          <w:tab w:val="left" w:pos="851"/>
          <w:tab w:val="left" w:pos="1418"/>
        </w:tabs>
        <w:spacing w:after="0"/>
        <w:rPr>
          <w:rFonts w:cs="Arial"/>
        </w:rPr>
      </w:pPr>
      <w:r w:rsidRPr="00161FFE">
        <w:rPr>
          <w:rFonts w:cs="Arial"/>
        </w:rPr>
        <w:t xml:space="preserve">This </w:t>
      </w:r>
      <w:r w:rsidR="0099516C" w:rsidRPr="00161FFE">
        <w:rPr>
          <w:rFonts w:cs="Arial"/>
        </w:rPr>
        <w:t xml:space="preserve">budget includes a reduction in </w:t>
      </w:r>
      <w:r w:rsidR="007465B8" w:rsidRPr="00161FFE">
        <w:rPr>
          <w:rFonts w:cs="Arial"/>
        </w:rPr>
        <w:t>2016/17</w:t>
      </w:r>
      <w:r w:rsidR="0099516C" w:rsidRPr="00161FFE">
        <w:rPr>
          <w:rFonts w:cs="Arial"/>
        </w:rPr>
        <w:t xml:space="preserve"> for approved savings that </w:t>
      </w:r>
      <w:r w:rsidR="007465B8" w:rsidRPr="00161FFE">
        <w:rPr>
          <w:rFonts w:cs="Arial"/>
        </w:rPr>
        <w:t>total £</w:t>
      </w:r>
      <w:r w:rsidR="00110C02" w:rsidRPr="00161FFE">
        <w:rPr>
          <w:rFonts w:cs="Arial"/>
        </w:rPr>
        <w:t>0.504m</w:t>
      </w:r>
      <w:r w:rsidR="007465B8" w:rsidRPr="00161FFE">
        <w:rPr>
          <w:rFonts w:cs="Arial"/>
        </w:rPr>
        <w:t>.The service</w:t>
      </w:r>
      <w:r w:rsidRPr="00161FFE">
        <w:rPr>
          <w:rFonts w:cs="Arial"/>
        </w:rPr>
        <w:t>s are</w:t>
      </w:r>
      <w:r w:rsidR="007465B8" w:rsidRPr="00161FFE">
        <w:rPr>
          <w:rFonts w:cs="Arial"/>
        </w:rPr>
        <w:t xml:space="preserve"> working towards achieving the m</w:t>
      </w:r>
      <w:r w:rsidRPr="00161FFE">
        <w:rPr>
          <w:rFonts w:cs="Arial"/>
        </w:rPr>
        <w:t>ajority of those savings planned for 2016/17</w:t>
      </w:r>
      <w:r w:rsidR="007465B8" w:rsidRPr="00161FFE">
        <w:rPr>
          <w:rFonts w:cs="Arial"/>
        </w:rPr>
        <w:t xml:space="preserve">, however the savings relating to CSC Placements and Social Worker Teams are delayed </w:t>
      </w:r>
      <w:r w:rsidRPr="00161FFE">
        <w:rPr>
          <w:rFonts w:cs="Arial"/>
        </w:rPr>
        <w:t>due to</w:t>
      </w:r>
      <w:r w:rsidR="007465B8" w:rsidRPr="00161FFE">
        <w:rPr>
          <w:rFonts w:cs="Arial"/>
        </w:rPr>
        <w:t xml:space="preserve"> demand pressures. It is anticipated that these savings can be achieved in future years, but will need to be funded from the Transitional Reserve in 2016/17. </w:t>
      </w:r>
    </w:p>
    <w:p w14:paraId="780319CF" w14:textId="77777777" w:rsidR="00431B9C" w:rsidRPr="00161FFE" w:rsidRDefault="00431B9C" w:rsidP="0049320F">
      <w:pPr>
        <w:tabs>
          <w:tab w:val="left" w:pos="851"/>
          <w:tab w:val="left" w:pos="1418"/>
        </w:tabs>
        <w:spacing w:after="0"/>
        <w:contextualSpacing/>
        <w:rPr>
          <w:rFonts w:cs="Arial"/>
          <w:b/>
        </w:rPr>
      </w:pPr>
    </w:p>
    <w:p w14:paraId="2A02117D" w14:textId="413609C0" w:rsidR="00431B9C" w:rsidRPr="00161FFE" w:rsidRDefault="00622590" w:rsidP="0049320F">
      <w:pPr>
        <w:tabs>
          <w:tab w:val="left" w:pos="851"/>
          <w:tab w:val="left" w:pos="1418"/>
        </w:tabs>
        <w:spacing w:after="0"/>
        <w:contextualSpacing/>
        <w:rPr>
          <w:rFonts w:cs="Arial"/>
          <w:b/>
        </w:rPr>
      </w:pPr>
      <w:r w:rsidRPr="00161FFE">
        <w:rPr>
          <w:rFonts w:cs="Arial"/>
          <w:b/>
        </w:rPr>
        <w:t>3.2</w:t>
      </w:r>
      <w:r w:rsidR="00431B9C" w:rsidRPr="00161FFE">
        <w:rPr>
          <w:rFonts w:cs="Arial"/>
          <w:b/>
        </w:rPr>
        <w:t>.5</w:t>
      </w:r>
      <w:r w:rsidR="00431B9C" w:rsidRPr="00161FFE">
        <w:rPr>
          <w:rFonts w:cs="Arial"/>
          <w:b/>
        </w:rPr>
        <w:tab/>
        <w:t>School Improvement</w:t>
      </w:r>
    </w:p>
    <w:p w14:paraId="2C65A27B" w14:textId="77777777" w:rsidR="00431B9C" w:rsidRPr="00161FFE" w:rsidRDefault="00431B9C" w:rsidP="0049320F">
      <w:pPr>
        <w:tabs>
          <w:tab w:val="left" w:pos="851"/>
          <w:tab w:val="left" w:pos="1418"/>
        </w:tabs>
        <w:spacing w:after="0"/>
        <w:contextualSpacing/>
        <w:rPr>
          <w:rFonts w:cs="Arial"/>
          <w:b/>
        </w:rPr>
      </w:pPr>
    </w:p>
    <w:p w14:paraId="521719C1" w14:textId="2F70A72F" w:rsidR="00431B9C" w:rsidRPr="00161FFE" w:rsidRDefault="00431B9C" w:rsidP="0049320F">
      <w:pPr>
        <w:tabs>
          <w:tab w:val="left" w:pos="851"/>
          <w:tab w:val="left" w:pos="1418"/>
        </w:tabs>
        <w:spacing w:after="0"/>
        <w:contextualSpacing/>
        <w:rPr>
          <w:rFonts w:cs="Arial"/>
          <w:color w:val="auto"/>
        </w:rPr>
      </w:pPr>
      <w:r w:rsidRPr="00161FFE">
        <w:rPr>
          <w:rFonts w:cs="Arial"/>
          <w:color w:val="auto"/>
        </w:rPr>
        <w:t xml:space="preserve">The service is currently holding vacancies awaiting the </w:t>
      </w:r>
      <w:r w:rsidR="00240B58" w:rsidRPr="00161FFE">
        <w:rPr>
          <w:rFonts w:cs="Arial"/>
          <w:color w:val="auto"/>
        </w:rPr>
        <w:t xml:space="preserve">approval of its </w:t>
      </w:r>
      <w:r w:rsidRPr="00161FFE">
        <w:rPr>
          <w:rFonts w:cs="Arial"/>
          <w:color w:val="auto"/>
        </w:rPr>
        <w:t xml:space="preserve">new structure </w:t>
      </w:r>
      <w:r w:rsidR="00240B58" w:rsidRPr="00161FFE">
        <w:rPr>
          <w:rFonts w:cs="Arial"/>
          <w:color w:val="auto"/>
        </w:rPr>
        <w:t xml:space="preserve">which is resulting in </w:t>
      </w:r>
      <w:r w:rsidRPr="00161FFE">
        <w:rPr>
          <w:rFonts w:cs="Arial"/>
          <w:color w:val="auto"/>
        </w:rPr>
        <w:t>a f</w:t>
      </w:r>
      <w:r w:rsidR="00240B58" w:rsidRPr="00161FFE">
        <w:rPr>
          <w:rFonts w:cs="Arial"/>
          <w:color w:val="auto"/>
        </w:rPr>
        <w:t>orecast underspend of £0.250m. The i</w:t>
      </w:r>
      <w:r w:rsidRPr="00161FFE">
        <w:rPr>
          <w:rFonts w:cs="Arial"/>
          <w:color w:val="auto"/>
        </w:rPr>
        <w:t xml:space="preserve">ncome </w:t>
      </w:r>
      <w:r w:rsidR="00240B58" w:rsidRPr="00161FFE">
        <w:rPr>
          <w:rFonts w:cs="Arial"/>
          <w:color w:val="auto"/>
        </w:rPr>
        <w:t xml:space="preserve">levels for the service are </w:t>
      </w:r>
      <w:r w:rsidRPr="00161FFE">
        <w:rPr>
          <w:rFonts w:cs="Arial"/>
          <w:color w:val="auto"/>
        </w:rPr>
        <w:t>forecast</w:t>
      </w:r>
      <w:r w:rsidR="00122484" w:rsidRPr="00161FFE">
        <w:rPr>
          <w:rFonts w:cs="Arial"/>
          <w:color w:val="auto"/>
        </w:rPr>
        <w:t xml:space="preserve"> to </w:t>
      </w:r>
      <w:r w:rsidR="00240B58" w:rsidRPr="00161FFE">
        <w:rPr>
          <w:rFonts w:cs="Arial"/>
          <w:color w:val="auto"/>
        </w:rPr>
        <w:t xml:space="preserve">achieve the target within their </w:t>
      </w:r>
      <w:r w:rsidRPr="00161FFE">
        <w:rPr>
          <w:rFonts w:cs="Arial"/>
          <w:color w:val="auto"/>
        </w:rPr>
        <w:t>budget</w:t>
      </w:r>
      <w:r w:rsidR="00240B58" w:rsidRPr="00161FFE">
        <w:rPr>
          <w:rFonts w:cs="Arial"/>
          <w:color w:val="auto"/>
        </w:rPr>
        <w:t xml:space="preserve"> however there is potential for this to </w:t>
      </w:r>
      <w:r w:rsidRPr="00161FFE">
        <w:rPr>
          <w:rFonts w:cs="Arial"/>
          <w:color w:val="auto"/>
        </w:rPr>
        <w:t>incre</w:t>
      </w:r>
      <w:r w:rsidR="00240B58" w:rsidRPr="00161FFE">
        <w:rPr>
          <w:rFonts w:cs="Arial"/>
          <w:color w:val="auto"/>
        </w:rPr>
        <w:t xml:space="preserve">ase in the new academic year and will be </w:t>
      </w:r>
      <w:r w:rsidR="00122484" w:rsidRPr="00161FFE">
        <w:rPr>
          <w:rFonts w:cs="Arial"/>
          <w:color w:val="auto"/>
        </w:rPr>
        <w:t>kept under review</w:t>
      </w:r>
      <w:r w:rsidR="00240B58" w:rsidRPr="00161FFE">
        <w:rPr>
          <w:rFonts w:cs="Arial"/>
          <w:color w:val="auto"/>
        </w:rPr>
        <w:t xml:space="preserve">. </w:t>
      </w:r>
    </w:p>
    <w:p w14:paraId="5C19FBEF" w14:textId="77777777" w:rsidR="00240B58" w:rsidRPr="00161FFE" w:rsidRDefault="00240B58" w:rsidP="0049320F">
      <w:pPr>
        <w:tabs>
          <w:tab w:val="left" w:pos="851"/>
          <w:tab w:val="left" w:pos="1418"/>
        </w:tabs>
        <w:spacing w:after="0"/>
        <w:contextualSpacing/>
        <w:rPr>
          <w:rFonts w:cs="Arial"/>
          <w:color w:val="auto"/>
        </w:rPr>
      </w:pPr>
    </w:p>
    <w:p w14:paraId="6BE2F562" w14:textId="741937FF" w:rsidR="00240B58" w:rsidRPr="00161FFE" w:rsidRDefault="00240B58" w:rsidP="0049320F">
      <w:pPr>
        <w:tabs>
          <w:tab w:val="left" w:pos="851"/>
          <w:tab w:val="left" w:pos="1418"/>
        </w:tabs>
        <w:spacing w:after="0"/>
        <w:contextualSpacing/>
        <w:rPr>
          <w:rFonts w:cs="Arial"/>
          <w:color w:val="auto"/>
        </w:rPr>
      </w:pPr>
      <w:r w:rsidRPr="00161FFE">
        <w:rPr>
          <w:rFonts w:cs="Arial"/>
          <w:color w:val="auto"/>
        </w:rPr>
        <w:t xml:space="preserve">This </w:t>
      </w:r>
      <w:r w:rsidR="0099516C" w:rsidRPr="00161FFE">
        <w:rPr>
          <w:rFonts w:cs="Arial"/>
          <w:color w:val="auto"/>
        </w:rPr>
        <w:t>budget has been reduced by £</w:t>
      </w:r>
      <w:r w:rsidR="00CB3546" w:rsidRPr="00161FFE">
        <w:rPr>
          <w:rFonts w:cs="Arial"/>
          <w:color w:val="auto"/>
        </w:rPr>
        <w:t>0.657m</w:t>
      </w:r>
      <w:r w:rsidR="0099516C" w:rsidRPr="00161FFE">
        <w:rPr>
          <w:rFonts w:cs="Arial"/>
          <w:color w:val="auto"/>
        </w:rPr>
        <w:t xml:space="preserve"> with the forecast incorporating that this saving will be achieved</w:t>
      </w:r>
      <w:r w:rsidRPr="00161FFE">
        <w:rPr>
          <w:rFonts w:cs="Arial"/>
          <w:color w:val="auto"/>
        </w:rPr>
        <w:t xml:space="preserve">. </w:t>
      </w:r>
    </w:p>
    <w:p w14:paraId="5B43EF7B" w14:textId="77777777" w:rsidR="00431B9C" w:rsidRPr="00161FFE" w:rsidRDefault="00431B9C" w:rsidP="0049320F">
      <w:pPr>
        <w:tabs>
          <w:tab w:val="left" w:pos="851"/>
          <w:tab w:val="left" w:pos="1418"/>
        </w:tabs>
        <w:spacing w:after="0"/>
        <w:contextualSpacing/>
        <w:rPr>
          <w:rFonts w:cs="Arial"/>
          <w:b/>
          <w:color w:val="FF0000"/>
        </w:rPr>
      </w:pPr>
    </w:p>
    <w:p w14:paraId="475D458F" w14:textId="77777777" w:rsidR="00122484" w:rsidRPr="00161FFE" w:rsidRDefault="00122484" w:rsidP="0049320F">
      <w:pPr>
        <w:tabs>
          <w:tab w:val="left" w:pos="851"/>
          <w:tab w:val="left" w:pos="1418"/>
        </w:tabs>
        <w:spacing w:after="0"/>
        <w:contextualSpacing/>
        <w:rPr>
          <w:rFonts w:cs="Arial"/>
          <w:b/>
          <w:color w:val="FF0000"/>
        </w:rPr>
      </w:pPr>
    </w:p>
    <w:p w14:paraId="604249E0" w14:textId="77777777" w:rsidR="00122484" w:rsidRPr="00161FFE" w:rsidRDefault="00122484" w:rsidP="0049320F">
      <w:pPr>
        <w:tabs>
          <w:tab w:val="left" w:pos="851"/>
          <w:tab w:val="left" w:pos="1418"/>
        </w:tabs>
        <w:spacing w:after="0"/>
        <w:contextualSpacing/>
        <w:rPr>
          <w:rFonts w:cs="Arial"/>
          <w:b/>
          <w:color w:val="FF0000"/>
        </w:rPr>
      </w:pPr>
    </w:p>
    <w:p w14:paraId="584730E0" w14:textId="1DC60D6A" w:rsidR="00431B9C" w:rsidRPr="00161FFE" w:rsidRDefault="00431B9C" w:rsidP="0049320F">
      <w:pPr>
        <w:pStyle w:val="ListParagraph"/>
        <w:numPr>
          <w:ilvl w:val="2"/>
          <w:numId w:val="34"/>
        </w:numPr>
        <w:tabs>
          <w:tab w:val="left" w:pos="851"/>
          <w:tab w:val="left" w:pos="1418"/>
        </w:tabs>
        <w:spacing w:after="0"/>
        <w:rPr>
          <w:rFonts w:cs="Arial"/>
          <w:b/>
        </w:rPr>
      </w:pPr>
      <w:r w:rsidRPr="00161FFE">
        <w:rPr>
          <w:rFonts w:cs="Arial"/>
          <w:b/>
        </w:rPr>
        <w:t>Traded Services (Start Well)</w:t>
      </w:r>
    </w:p>
    <w:p w14:paraId="3E2AF07E" w14:textId="77777777" w:rsidR="00431B9C" w:rsidRPr="00161FFE" w:rsidRDefault="00431B9C" w:rsidP="0049320F">
      <w:pPr>
        <w:tabs>
          <w:tab w:val="left" w:pos="851"/>
          <w:tab w:val="left" w:pos="1418"/>
        </w:tabs>
        <w:spacing w:after="0"/>
        <w:ind w:left="851" w:hanging="851"/>
        <w:contextualSpacing/>
        <w:rPr>
          <w:rFonts w:cs="Arial"/>
          <w:b/>
        </w:rPr>
      </w:pPr>
    </w:p>
    <w:p w14:paraId="73447542" w14:textId="79C6D3BD" w:rsidR="00431B9C" w:rsidRPr="00161FFE" w:rsidRDefault="00431B9C" w:rsidP="0049320F">
      <w:pPr>
        <w:tabs>
          <w:tab w:val="left" w:pos="851"/>
          <w:tab w:val="left" w:pos="1418"/>
        </w:tabs>
        <w:spacing w:after="0"/>
        <w:rPr>
          <w:rFonts w:cs="Arial"/>
          <w:color w:val="auto"/>
        </w:rPr>
      </w:pPr>
      <w:r w:rsidRPr="00161FFE">
        <w:rPr>
          <w:rFonts w:cs="Arial"/>
          <w:color w:val="auto"/>
        </w:rPr>
        <w:t>Traded services are forecast to unders</w:t>
      </w:r>
      <w:r w:rsidR="00546D5B" w:rsidRPr="00161FFE">
        <w:rPr>
          <w:rFonts w:cs="Arial"/>
          <w:color w:val="auto"/>
        </w:rPr>
        <w:t>pend by £2.185m in 2016/</w:t>
      </w:r>
      <w:r w:rsidR="00240B58" w:rsidRPr="00161FFE">
        <w:rPr>
          <w:rFonts w:cs="Arial"/>
          <w:color w:val="auto"/>
        </w:rPr>
        <w:t xml:space="preserve">17. This relates to a </w:t>
      </w:r>
      <w:r w:rsidRPr="00161FFE">
        <w:rPr>
          <w:rFonts w:cs="Arial"/>
          <w:color w:val="auto"/>
        </w:rPr>
        <w:t xml:space="preserve">School </w:t>
      </w:r>
      <w:r w:rsidR="00240B58" w:rsidRPr="00161FFE">
        <w:rPr>
          <w:rFonts w:cs="Arial"/>
          <w:color w:val="auto"/>
        </w:rPr>
        <w:t>C</w:t>
      </w:r>
      <w:r w:rsidRPr="00161FFE">
        <w:rPr>
          <w:rFonts w:cs="Arial"/>
          <w:color w:val="auto"/>
        </w:rPr>
        <w:t xml:space="preserve">atering </w:t>
      </w:r>
      <w:r w:rsidR="00240B58" w:rsidRPr="00161FFE">
        <w:rPr>
          <w:rFonts w:cs="Arial"/>
          <w:color w:val="auto"/>
        </w:rPr>
        <w:t>Service forecast underspend which</w:t>
      </w:r>
      <w:r w:rsidRPr="00161FFE">
        <w:rPr>
          <w:rFonts w:cs="Arial"/>
          <w:color w:val="auto"/>
        </w:rPr>
        <w:t xml:space="preserve"> represents the continued efficient t</w:t>
      </w:r>
      <w:r w:rsidR="00240B58" w:rsidRPr="00161FFE">
        <w:rPr>
          <w:rFonts w:cs="Arial"/>
          <w:color w:val="auto"/>
        </w:rPr>
        <w:t xml:space="preserve">rading position of the service and is in line with the 2015/16 outturn </w:t>
      </w:r>
      <w:r w:rsidR="00B931A6" w:rsidRPr="00161FFE">
        <w:rPr>
          <w:rFonts w:cs="Arial"/>
          <w:color w:val="auto"/>
        </w:rPr>
        <w:t>position</w:t>
      </w:r>
      <w:r w:rsidR="00240B58" w:rsidRPr="00161FFE">
        <w:rPr>
          <w:rFonts w:cs="Arial"/>
          <w:color w:val="auto"/>
        </w:rPr>
        <w:t xml:space="preserve"> that the service achieved. This also incorporates a saving target that is being achieved of £</w:t>
      </w:r>
      <w:r w:rsidR="00E03E2A" w:rsidRPr="00161FFE">
        <w:rPr>
          <w:rFonts w:cs="Arial"/>
          <w:color w:val="auto"/>
        </w:rPr>
        <w:t>0.037m</w:t>
      </w:r>
      <w:r w:rsidR="00240B58" w:rsidRPr="00161FFE">
        <w:rPr>
          <w:rFonts w:cs="Arial"/>
          <w:color w:val="auto"/>
        </w:rPr>
        <w:t xml:space="preserve">. </w:t>
      </w:r>
    </w:p>
    <w:p w14:paraId="49B6E056" w14:textId="77777777" w:rsidR="00240B58" w:rsidRPr="00161FFE" w:rsidRDefault="00240B58" w:rsidP="0049320F">
      <w:pPr>
        <w:tabs>
          <w:tab w:val="left" w:pos="851"/>
          <w:tab w:val="left" w:pos="1418"/>
        </w:tabs>
        <w:spacing w:after="0"/>
        <w:rPr>
          <w:rFonts w:cs="Arial"/>
          <w:color w:val="auto"/>
        </w:rPr>
      </w:pPr>
    </w:p>
    <w:p w14:paraId="4B6489AB" w14:textId="6572FA1E" w:rsidR="00240B58" w:rsidRPr="00161FFE" w:rsidRDefault="00240B58" w:rsidP="0049320F">
      <w:pPr>
        <w:tabs>
          <w:tab w:val="left" w:pos="851"/>
          <w:tab w:val="left" w:pos="1418"/>
        </w:tabs>
        <w:spacing w:after="0"/>
        <w:rPr>
          <w:rFonts w:cs="Arial"/>
          <w:color w:val="auto"/>
        </w:rPr>
      </w:pPr>
      <w:r w:rsidRPr="00161FFE">
        <w:rPr>
          <w:rFonts w:cs="Arial"/>
          <w:color w:val="auto"/>
        </w:rPr>
        <w:t>All other traded services are reporting a nil variance to their budget, however it is important to note that this includes the achieve</w:t>
      </w:r>
      <w:r w:rsidR="00E03E2A" w:rsidRPr="00161FFE">
        <w:rPr>
          <w:rFonts w:cs="Arial"/>
          <w:color w:val="auto"/>
        </w:rPr>
        <w:t>ment of savings of £0.387m</w:t>
      </w:r>
      <w:r w:rsidR="002770E2" w:rsidRPr="00161FFE">
        <w:rPr>
          <w:rFonts w:cs="Arial"/>
          <w:color w:val="auto"/>
        </w:rPr>
        <w:t>.</w:t>
      </w:r>
    </w:p>
    <w:p w14:paraId="24535466" w14:textId="77777777" w:rsidR="00431B9C" w:rsidRPr="00161FFE" w:rsidRDefault="00431B9C" w:rsidP="0049320F">
      <w:pPr>
        <w:pStyle w:val="ListParagraph"/>
        <w:tabs>
          <w:tab w:val="left" w:pos="851"/>
          <w:tab w:val="left" w:pos="1418"/>
        </w:tabs>
        <w:spacing w:after="0"/>
        <w:ind w:left="1574"/>
        <w:rPr>
          <w:rFonts w:cs="Arial"/>
          <w:b/>
        </w:rPr>
      </w:pPr>
    </w:p>
    <w:p w14:paraId="2BD9846E" w14:textId="77777777" w:rsidR="00431B9C" w:rsidRPr="00BE0890" w:rsidRDefault="00431B9C" w:rsidP="0049320F">
      <w:pPr>
        <w:autoSpaceDE/>
        <w:autoSpaceDN/>
        <w:adjustRightInd/>
        <w:spacing w:after="0"/>
        <w:rPr>
          <w:rFonts w:cs="Arial"/>
        </w:rPr>
      </w:pPr>
    </w:p>
    <w:p w14:paraId="52BA2C5A" w14:textId="77777777" w:rsidR="00431B9C" w:rsidRDefault="00431B9C" w:rsidP="0049320F">
      <w:pPr>
        <w:autoSpaceDE/>
        <w:autoSpaceDN/>
        <w:adjustRightInd/>
        <w:spacing w:after="0"/>
        <w:rPr>
          <w:rFonts w:cs="Arial"/>
        </w:rPr>
      </w:pPr>
    </w:p>
    <w:p w14:paraId="4B4461F8" w14:textId="77777777" w:rsidR="00431B9C" w:rsidRDefault="00431B9C" w:rsidP="0049320F">
      <w:pPr>
        <w:autoSpaceDE/>
        <w:autoSpaceDN/>
        <w:adjustRightInd/>
        <w:spacing w:after="0"/>
        <w:rPr>
          <w:rFonts w:cs="Arial"/>
        </w:rPr>
      </w:pPr>
    </w:p>
    <w:p w14:paraId="196F48CE" w14:textId="77777777" w:rsidR="00431B9C" w:rsidRDefault="00431B9C" w:rsidP="0049320F">
      <w:pPr>
        <w:autoSpaceDE/>
        <w:autoSpaceDN/>
        <w:adjustRightInd/>
        <w:spacing w:after="0"/>
        <w:rPr>
          <w:rFonts w:cs="Arial"/>
        </w:rPr>
      </w:pPr>
    </w:p>
    <w:p w14:paraId="5D48B4EA" w14:textId="77777777" w:rsidR="00431B9C" w:rsidRDefault="00431B9C" w:rsidP="0049320F">
      <w:pPr>
        <w:autoSpaceDE/>
        <w:autoSpaceDN/>
        <w:adjustRightInd/>
        <w:spacing w:after="0"/>
        <w:rPr>
          <w:rFonts w:cs="Arial"/>
        </w:rPr>
      </w:pPr>
    </w:p>
    <w:p w14:paraId="49516A0C" w14:textId="77777777" w:rsidR="00431B9C" w:rsidRDefault="00431B9C" w:rsidP="0049320F">
      <w:pPr>
        <w:autoSpaceDE/>
        <w:autoSpaceDN/>
        <w:adjustRightInd/>
        <w:spacing w:after="0"/>
        <w:rPr>
          <w:b/>
        </w:rPr>
      </w:pPr>
      <w:r>
        <w:rPr>
          <w:b/>
        </w:rPr>
        <w:br w:type="page"/>
      </w:r>
    </w:p>
    <w:p w14:paraId="2D419455" w14:textId="77777777" w:rsidR="00431B9C" w:rsidRDefault="00431B9C" w:rsidP="0049320F">
      <w:pPr>
        <w:tabs>
          <w:tab w:val="left" w:pos="851"/>
          <w:tab w:val="left" w:pos="1418"/>
        </w:tabs>
        <w:spacing w:after="0"/>
        <w:rPr>
          <w:b/>
        </w:rPr>
      </w:pPr>
    </w:p>
    <w:p w14:paraId="1ED51261" w14:textId="628B2F1C" w:rsidR="00431B9C" w:rsidRDefault="00622590" w:rsidP="0049320F">
      <w:pPr>
        <w:tabs>
          <w:tab w:val="left" w:pos="851"/>
          <w:tab w:val="left" w:pos="1418"/>
        </w:tabs>
        <w:spacing w:after="0"/>
        <w:rPr>
          <w:b/>
        </w:rPr>
      </w:pPr>
      <w:r>
        <w:rPr>
          <w:b/>
        </w:rPr>
        <w:t>3.3</w:t>
      </w:r>
      <w:r w:rsidR="00431B9C">
        <w:rPr>
          <w:b/>
        </w:rPr>
        <w:tab/>
        <w:t>Operations and Delivery – Community Services</w:t>
      </w:r>
    </w:p>
    <w:p w14:paraId="6F2EDBD7" w14:textId="77777777" w:rsidR="00431B9C" w:rsidRDefault="00431B9C" w:rsidP="0049320F">
      <w:pPr>
        <w:tabs>
          <w:tab w:val="left" w:pos="851"/>
          <w:tab w:val="left" w:pos="1418"/>
        </w:tabs>
        <w:spacing w:after="0"/>
        <w:rPr>
          <w:b/>
        </w:rPr>
      </w:pPr>
    </w:p>
    <w:tbl>
      <w:tblPr>
        <w:tblW w:w="9147" w:type="dxa"/>
        <w:tblLook w:val="04A0" w:firstRow="1" w:lastRow="0" w:firstColumn="1" w:lastColumn="0" w:noHBand="0" w:noVBand="1"/>
      </w:tblPr>
      <w:tblGrid>
        <w:gridCol w:w="784"/>
        <w:gridCol w:w="3986"/>
        <w:gridCol w:w="1459"/>
        <w:gridCol w:w="1459"/>
        <w:gridCol w:w="1459"/>
      </w:tblGrid>
      <w:tr w:rsidR="00431B9C" w:rsidRPr="00EB42C6" w14:paraId="205A85C5" w14:textId="77777777" w:rsidTr="00431B9C">
        <w:trPr>
          <w:trHeight w:val="1107"/>
        </w:trPr>
        <w:tc>
          <w:tcPr>
            <w:tcW w:w="784" w:type="dxa"/>
            <w:tcBorders>
              <w:top w:val="single" w:sz="4" w:space="0" w:color="auto"/>
              <w:left w:val="single" w:sz="4" w:space="0" w:color="auto"/>
              <w:bottom w:val="nil"/>
              <w:right w:val="single" w:sz="4" w:space="0" w:color="auto"/>
            </w:tcBorders>
            <w:shd w:val="clear" w:color="000000" w:fill="D9D9D9"/>
            <w:vAlign w:val="bottom"/>
            <w:hideMark/>
          </w:tcPr>
          <w:p w14:paraId="73B4C7AE" w14:textId="77777777" w:rsidR="00431B9C" w:rsidRPr="00EB42C6" w:rsidRDefault="00431B9C" w:rsidP="0049320F">
            <w:pPr>
              <w:autoSpaceDE/>
              <w:autoSpaceDN/>
              <w:adjustRightInd/>
              <w:spacing w:after="0"/>
              <w:rPr>
                <w:rFonts w:eastAsia="Times New Roman" w:cs="Arial"/>
                <w:b/>
                <w:bCs/>
                <w:sz w:val="20"/>
                <w:szCs w:val="20"/>
                <w:lang w:eastAsia="en-GB"/>
              </w:rPr>
            </w:pPr>
            <w:r w:rsidRPr="00EB42C6">
              <w:rPr>
                <w:rFonts w:eastAsia="Times New Roman" w:cs="Arial"/>
                <w:b/>
                <w:bCs/>
                <w:sz w:val="20"/>
                <w:szCs w:val="20"/>
                <w:lang w:eastAsia="en-GB"/>
              </w:rPr>
              <w:t>Ref</w:t>
            </w:r>
          </w:p>
        </w:tc>
        <w:tc>
          <w:tcPr>
            <w:tcW w:w="3986" w:type="dxa"/>
            <w:tcBorders>
              <w:top w:val="single" w:sz="4" w:space="0" w:color="auto"/>
              <w:left w:val="nil"/>
              <w:bottom w:val="nil"/>
              <w:right w:val="single" w:sz="4" w:space="0" w:color="auto"/>
            </w:tcBorders>
            <w:shd w:val="clear" w:color="000000" w:fill="D9D9D9"/>
            <w:vAlign w:val="bottom"/>
            <w:hideMark/>
          </w:tcPr>
          <w:p w14:paraId="795D52B9" w14:textId="77777777" w:rsidR="00431B9C" w:rsidRPr="00EB42C6" w:rsidRDefault="00431B9C" w:rsidP="0049320F">
            <w:pPr>
              <w:autoSpaceDE/>
              <w:autoSpaceDN/>
              <w:adjustRightInd/>
              <w:spacing w:after="0"/>
              <w:rPr>
                <w:rFonts w:eastAsia="Times New Roman" w:cs="Arial"/>
                <w:b/>
                <w:bCs/>
                <w:sz w:val="20"/>
                <w:szCs w:val="20"/>
                <w:lang w:eastAsia="en-GB"/>
              </w:rPr>
            </w:pPr>
            <w:r w:rsidRPr="00EB42C6">
              <w:rPr>
                <w:rFonts w:eastAsia="Times New Roman" w:cs="Arial"/>
                <w:b/>
                <w:bCs/>
                <w:sz w:val="20"/>
                <w:szCs w:val="20"/>
                <w:lang w:eastAsia="en-GB"/>
              </w:rPr>
              <w:t>HEAD OF SERVICE</w:t>
            </w:r>
          </w:p>
        </w:tc>
        <w:tc>
          <w:tcPr>
            <w:tcW w:w="1459" w:type="dxa"/>
            <w:tcBorders>
              <w:top w:val="single" w:sz="4" w:space="0" w:color="auto"/>
              <w:left w:val="nil"/>
              <w:bottom w:val="nil"/>
              <w:right w:val="single" w:sz="4" w:space="0" w:color="auto"/>
            </w:tcBorders>
            <w:shd w:val="clear" w:color="000000" w:fill="D9D9D9"/>
            <w:vAlign w:val="bottom"/>
            <w:hideMark/>
          </w:tcPr>
          <w:p w14:paraId="0C3B6E6F" w14:textId="77777777" w:rsidR="00431B9C" w:rsidRPr="00EB42C6" w:rsidRDefault="00431B9C" w:rsidP="0049320F">
            <w:pPr>
              <w:autoSpaceDE/>
              <w:autoSpaceDN/>
              <w:adjustRightInd/>
              <w:spacing w:after="0"/>
              <w:rPr>
                <w:rFonts w:eastAsia="Times New Roman" w:cs="Arial"/>
                <w:b/>
                <w:bCs/>
                <w:sz w:val="20"/>
                <w:szCs w:val="20"/>
                <w:lang w:eastAsia="en-GB"/>
              </w:rPr>
            </w:pPr>
            <w:r w:rsidRPr="00EB42C6">
              <w:rPr>
                <w:rFonts w:eastAsia="Times New Roman" w:cs="Arial"/>
                <w:b/>
                <w:bCs/>
                <w:sz w:val="20"/>
                <w:szCs w:val="20"/>
                <w:lang w:eastAsia="en-GB"/>
              </w:rPr>
              <w:t>Approved Budget</w:t>
            </w:r>
          </w:p>
        </w:tc>
        <w:tc>
          <w:tcPr>
            <w:tcW w:w="1459" w:type="dxa"/>
            <w:tcBorders>
              <w:top w:val="single" w:sz="4" w:space="0" w:color="auto"/>
              <w:left w:val="nil"/>
              <w:bottom w:val="nil"/>
              <w:right w:val="single" w:sz="4" w:space="0" w:color="auto"/>
            </w:tcBorders>
            <w:shd w:val="clear" w:color="000000" w:fill="D9D9D9"/>
            <w:vAlign w:val="bottom"/>
            <w:hideMark/>
          </w:tcPr>
          <w:p w14:paraId="5F08491A" w14:textId="77777777" w:rsidR="00431B9C" w:rsidRPr="00EB42C6" w:rsidRDefault="00431B9C" w:rsidP="0049320F">
            <w:pPr>
              <w:autoSpaceDE/>
              <w:autoSpaceDN/>
              <w:adjustRightInd/>
              <w:spacing w:after="0"/>
              <w:rPr>
                <w:rFonts w:eastAsia="Times New Roman" w:cs="Arial"/>
                <w:b/>
                <w:bCs/>
                <w:sz w:val="20"/>
                <w:szCs w:val="20"/>
                <w:lang w:eastAsia="en-GB"/>
              </w:rPr>
            </w:pPr>
            <w:r w:rsidRPr="00EB42C6">
              <w:rPr>
                <w:rFonts w:eastAsia="Times New Roman" w:cs="Arial"/>
                <w:b/>
                <w:bCs/>
                <w:sz w:val="20"/>
                <w:szCs w:val="20"/>
                <w:lang w:eastAsia="en-GB"/>
              </w:rPr>
              <w:t>Current Period Forecast Outturn</w:t>
            </w:r>
          </w:p>
        </w:tc>
        <w:tc>
          <w:tcPr>
            <w:tcW w:w="1459" w:type="dxa"/>
            <w:tcBorders>
              <w:top w:val="single" w:sz="4" w:space="0" w:color="auto"/>
              <w:left w:val="nil"/>
              <w:bottom w:val="nil"/>
              <w:right w:val="single" w:sz="4" w:space="0" w:color="auto"/>
            </w:tcBorders>
            <w:shd w:val="clear" w:color="000000" w:fill="D9D9D9"/>
            <w:vAlign w:val="bottom"/>
            <w:hideMark/>
          </w:tcPr>
          <w:p w14:paraId="5BE94DCD" w14:textId="77777777" w:rsidR="00431B9C" w:rsidRPr="00EB42C6" w:rsidRDefault="00431B9C" w:rsidP="0049320F">
            <w:pPr>
              <w:autoSpaceDE/>
              <w:autoSpaceDN/>
              <w:adjustRightInd/>
              <w:spacing w:after="0"/>
              <w:rPr>
                <w:rFonts w:eastAsia="Times New Roman" w:cs="Arial"/>
                <w:b/>
                <w:bCs/>
                <w:sz w:val="20"/>
                <w:szCs w:val="20"/>
                <w:lang w:eastAsia="en-GB"/>
              </w:rPr>
            </w:pPr>
            <w:r w:rsidRPr="00EB42C6">
              <w:rPr>
                <w:rFonts w:eastAsia="Times New Roman" w:cs="Arial"/>
                <w:b/>
                <w:bCs/>
                <w:sz w:val="20"/>
                <w:szCs w:val="20"/>
                <w:lang w:eastAsia="en-GB"/>
              </w:rPr>
              <w:t>Current Period Forecast Variance</w:t>
            </w:r>
          </w:p>
        </w:tc>
      </w:tr>
      <w:tr w:rsidR="00431B9C" w:rsidRPr="00EB42C6" w14:paraId="726C17A0" w14:textId="77777777" w:rsidTr="00431B9C">
        <w:trPr>
          <w:trHeight w:val="276"/>
        </w:trPr>
        <w:tc>
          <w:tcPr>
            <w:tcW w:w="784" w:type="dxa"/>
            <w:tcBorders>
              <w:top w:val="nil"/>
              <w:left w:val="single" w:sz="4" w:space="0" w:color="auto"/>
              <w:bottom w:val="single" w:sz="4" w:space="0" w:color="auto"/>
              <w:right w:val="single" w:sz="4" w:space="0" w:color="auto"/>
            </w:tcBorders>
            <w:shd w:val="clear" w:color="000000" w:fill="D9D9D9"/>
            <w:vAlign w:val="bottom"/>
            <w:hideMark/>
          </w:tcPr>
          <w:p w14:paraId="4BCA974E" w14:textId="77777777" w:rsidR="00431B9C" w:rsidRPr="00EB42C6" w:rsidRDefault="00431B9C" w:rsidP="0049320F">
            <w:pPr>
              <w:autoSpaceDE/>
              <w:autoSpaceDN/>
              <w:adjustRightInd/>
              <w:spacing w:after="0"/>
              <w:rPr>
                <w:rFonts w:eastAsia="Times New Roman" w:cs="Arial"/>
                <w:b/>
                <w:bCs/>
                <w:sz w:val="20"/>
                <w:szCs w:val="20"/>
                <w:lang w:eastAsia="en-GB"/>
              </w:rPr>
            </w:pPr>
            <w:r w:rsidRPr="00EB42C6">
              <w:rPr>
                <w:rFonts w:eastAsia="Times New Roman" w:cs="Arial"/>
                <w:b/>
                <w:bCs/>
                <w:sz w:val="20"/>
                <w:szCs w:val="20"/>
                <w:lang w:eastAsia="en-GB"/>
              </w:rPr>
              <w:t> </w:t>
            </w:r>
          </w:p>
        </w:tc>
        <w:tc>
          <w:tcPr>
            <w:tcW w:w="3986" w:type="dxa"/>
            <w:tcBorders>
              <w:top w:val="nil"/>
              <w:left w:val="nil"/>
              <w:bottom w:val="single" w:sz="4" w:space="0" w:color="auto"/>
              <w:right w:val="single" w:sz="4" w:space="0" w:color="auto"/>
            </w:tcBorders>
            <w:shd w:val="clear" w:color="000000" w:fill="D9D9D9"/>
            <w:vAlign w:val="bottom"/>
            <w:hideMark/>
          </w:tcPr>
          <w:p w14:paraId="361B62C7" w14:textId="77777777" w:rsidR="00431B9C" w:rsidRPr="00EB42C6" w:rsidRDefault="00431B9C" w:rsidP="0049320F">
            <w:pPr>
              <w:autoSpaceDE/>
              <w:autoSpaceDN/>
              <w:adjustRightInd/>
              <w:spacing w:after="0"/>
              <w:rPr>
                <w:rFonts w:eastAsia="Times New Roman" w:cs="Arial"/>
                <w:b/>
                <w:bCs/>
                <w:sz w:val="20"/>
                <w:szCs w:val="20"/>
                <w:lang w:eastAsia="en-GB"/>
              </w:rPr>
            </w:pPr>
            <w:r w:rsidRPr="00EB42C6">
              <w:rPr>
                <w:rFonts w:eastAsia="Times New Roman" w:cs="Arial"/>
                <w:b/>
                <w:bCs/>
                <w:sz w:val="20"/>
                <w:szCs w:val="20"/>
                <w:lang w:eastAsia="en-GB"/>
              </w:rPr>
              <w:t> </w:t>
            </w:r>
          </w:p>
        </w:tc>
        <w:tc>
          <w:tcPr>
            <w:tcW w:w="1459" w:type="dxa"/>
            <w:tcBorders>
              <w:top w:val="nil"/>
              <w:left w:val="nil"/>
              <w:bottom w:val="single" w:sz="4" w:space="0" w:color="auto"/>
              <w:right w:val="single" w:sz="4" w:space="0" w:color="auto"/>
            </w:tcBorders>
            <w:shd w:val="clear" w:color="000000" w:fill="D9D9D9"/>
            <w:vAlign w:val="bottom"/>
            <w:hideMark/>
          </w:tcPr>
          <w:p w14:paraId="53A94528" w14:textId="77777777" w:rsidR="00431B9C" w:rsidRPr="00EB42C6" w:rsidRDefault="00431B9C" w:rsidP="0049320F">
            <w:pPr>
              <w:autoSpaceDE/>
              <w:autoSpaceDN/>
              <w:adjustRightInd/>
              <w:spacing w:after="0"/>
              <w:rPr>
                <w:rFonts w:eastAsia="Times New Roman" w:cs="Arial"/>
                <w:b/>
                <w:bCs/>
                <w:sz w:val="20"/>
                <w:szCs w:val="20"/>
                <w:lang w:eastAsia="en-GB"/>
              </w:rPr>
            </w:pPr>
            <w:r w:rsidRPr="00EB42C6">
              <w:rPr>
                <w:rFonts w:eastAsia="Times New Roman" w:cs="Arial"/>
                <w:b/>
                <w:bCs/>
                <w:sz w:val="20"/>
                <w:szCs w:val="20"/>
                <w:lang w:eastAsia="en-GB"/>
              </w:rPr>
              <w:t>£m</w:t>
            </w:r>
          </w:p>
        </w:tc>
        <w:tc>
          <w:tcPr>
            <w:tcW w:w="1459" w:type="dxa"/>
            <w:tcBorders>
              <w:top w:val="nil"/>
              <w:left w:val="nil"/>
              <w:bottom w:val="single" w:sz="4" w:space="0" w:color="auto"/>
              <w:right w:val="single" w:sz="4" w:space="0" w:color="auto"/>
            </w:tcBorders>
            <w:shd w:val="clear" w:color="000000" w:fill="D9D9D9"/>
            <w:vAlign w:val="bottom"/>
            <w:hideMark/>
          </w:tcPr>
          <w:p w14:paraId="1FCEF9B5" w14:textId="77777777" w:rsidR="00431B9C" w:rsidRPr="00EB42C6" w:rsidRDefault="00431B9C" w:rsidP="0049320F">
            <w:pPr>
              <w:autoSpaceDE/>
              <w:autoSpaceDN/>
              <w:adjustRightInd/>
              <w:spacing w:after="0"/>
              <w:rPr>
                <w:rFonts w:eastAsia="Times New Roman" w:cs="Arial"/>
                <w:b/>
                <w:bCs/>
                <w:sz w:val="20"/>
                <w:szCs w:val="20"/>
                <w:lang w:eastAsia="en-GB"/>
              </w:rPr>
            </w:pPr>
            <w:r w:rsidRPr="00EB42C6">
              <w:rPr>
                <w:rFonts w:eastAsia="Times New Roman" w:cs="Arial"/>
                <w:b/>
                <w:bCs/>
                <w:sz w:val="20"/>
                <w:szCs w:val="20"/>
                <w:lang w:eastAsia="en-GB"/>
              </w:rPr>
              <w:t>£m</w:t>
            </w:r>
          </w:p>
        </w:tc>
        <w:tc>
          <w:tcPr>
            <w:tcW w:w="1459" w:type="dxa"/>
            <w:tcBorders>
              <w:top w:val="nil"/>
              <w:left w:val="nil"/>
              <w:bottom w:val="single" w:sz="4" w:space="0" w:color="auto"/>
              <w:right w:val="single" w:sz="4" w:space="0" w:color="auto"/>
            </w:tcBorders>
            <w:shd w:val="clear" w:color="000000" w:fill="D9D9D9"/>
            <w:vAlign w:val="bottom"/>
            <w:hideMark/>
          </w:tcPr>
          <w:p w14:paraId="624E56FD" w14:textId="77777777" w:rsidR="00431B9C" w:rsidRPr="00EB42C6" w:rsidRDefault="00431B9C" w:rsidP="0049320F">
            <w:pPr>
              <w:autoSpaceDE/>
              <w:autoSpaceDN/>
              <w:adjustRightInd/>
              <w:spacing w:after="0"/>
              <w:rPr>
                <w:rFonts w:eastAsia="Times New Roman" w:cs="Arial"/>
                <w:b/>
                <w:bCs/>
                <w:sz w:val="20"/>
                <w:szCs w:val="20"/>
                <w:lang w:eastAsia="en-GB"/>
              </w:rPr>
            </w:pPr>
            <w:r w:rsidRPr="00EB42C6">
              <w:rPr>
                <w:rFonts w:eastAsia="Times New Roman" w:cs="Arial"/>
                <w:b/>
                <w:bCs/>
                <w:sz w:val="20"/>
                <w:szCs w:val="20"/>
                <w:lang w:eastAsia="en-GB"/>
              </w:rPr>
              <w:t>£m</w:t>
            </w:r>
          </w:p>
        </w:tc>
      </w:tr>
      <w:tr w:rsidR="00431B9C" w:rsidRPr="00EB42C6" w14:paraId="73780FD6" w14:textId="77777777" w:rsidTr="00431B9C">
        <w:trPr>
          <w:trHeight w:val="276"/>
        </w:trPr>
        <w:tc>
          <w:tcPr>
            <w:tcW w:w="784" w:type="dxa"/>
            <w:tcBorders>
              <w:top w:val="nil"/>
              <w:left w:val="single" w:sz="4" w:space="0" w:color="auto"/>
              <w:bottom w:val="single" w:sz="4" w:space="0" w:color="auto"/>
              <w:right w:val="single" w:sz="4" w:space="0" w:color="auto"/>
            </w:tcBorders>
            <w:shd w:val="clear" w:color="000000" w:fill="FFFFFF"/>
            <w:noWrap/>
            <w:hideMark/>
          </w:tcPr>
          <w:p w14:paraId="37D34EA9" w14:textId="2AB0DFE0" w:rsidR="00431B9C" w:rsidRPr="00EB42C6" w:rsidRDefault="00622590" w:rsidP="0049320F">
            <w:pPr>
              <w:autoSpaceDE/>
              <w:autoSpaceDN/>
              <w:adjustRightInd/>
              <w:spacing w:after="0"/>
              <w:rPr>
                <w:rFonts w:eastAsia="Times New Roman" w:cs="Arial"/>
                <w:b/>
                <w:bCs/>
                <w:sz w:val="20"/>
                <w:szCs w:val="20"/>
                <w:lang w:eastAsia="en-GB"/>
              </w:rPr>
            </w:pPr>
            <w:r>
              <w:rPr>
                <w:rFonts w:eastAsia="Times New Roman" w:cs="Arial"/>
                <w:b/>
                <w:bCs/>
                <w:sz w:val="20"/>
                <w:szCs w:val="20"/>
                <w:lang w:eastAsia="en-GB"/>
              </w:rPr>
              <w:t>3.3</w:t>
            </w:r>
            <w:r w:rsidR="00431B9C" w:rsidRPr="00EB42C6">
              <w:rPr>
                <w:rFonts w:eastAsia="Times New Roman" w:cs="Arial"/>
                <w:b/>
                <w:bCs/>
                <w:sz w:val="20"/>
                <w:szCs w:val="20"/>
                <w:lang w:eastAsia="en-GB"/>
              </w:rPr>
              <w:t>.1</w:t>
            </w:r>
          </w:p>
        </w:tc>
        <w:tc>
          <w:tcPr>
            <w:tcW w:w="3986" w:type="dxa"/>
            <w:tcBorders>
              <w:top w:val="nil"/>
              <w:left w:val="nil"/>
              <w:bottom w:val="single" w:sz="4" w:space="0" w:color="auto"/>
              <w:right w:val="single" w:sz="4" w:space="0" w:color="auto"/>
            </w:tcBorders>
            <w:shd w:val="clear" w:color="000000" w:fill="FFFFFF"/>
            <w:hideMark/>
          </w:tcPr>
          <w:p w14:paraId="407D74D9" w14:textId="77777777" w:rsidR="00431B9C" w:rsidRPr="00EB42C6" w:rsidRDefault="00431B9C" w:rsidP="0049320F">
            <w:pPr>
              <w:autoSpaceDE/>
              <w:autoSpaceDN/>
              <w:adjustRightInd/>
              <w:spacing w:after="0"/>
              <w:rPr>
                <w:rFonts w:eastAsia="Times New Roman" w:cs="Arial"/>
                <w:sz w:val="20"/>
                <w:szCs w:val="20"/>
                <w:lang w:eastAsia="en-GB"/>
              </w:rPr>
            </w:pPr>
            <w:r>
              <w:rPr>
                <w:rFonts w:cs="Arial"/>
                <w:sz w:val="20"/>
                <w:szCs w:val="20"/>
              </w:rPr>
              <w:t>OPERATIONS AND DELIVERY</w:t>
            </w:r>
          </w:p>
        </w:tc>
        <w:tc>
          <w:tcPr>
            <w:tcW w:w="1459" w:type="dxa"/>
            <w:tcBorders>
              <w:top w:val="nil"/>
              <w:left w:val="nil"/>
              <w:bottom w:val="single" w:sz="4" w:space="0" w:color="auto"/>
              <w:right w:val="single" w:sz="4" w:space="0" w:color="auto"/>
            </w:tcBorders>
            <w:shd w:val="clear" w:color="000000" w:fill="FFFFFF"/>
            <w:hideMark/>
          </w:tcPr>
          <w:p w14:paraId="27F87F4D" w14:textId="77777777" w:rsidR="00431B9C" w:rsidRPr="00EB42C6" w:rsidRDefault="00431B9C" w:rsidP="0049320F">
            <w:pPr>
              <w:autoSpaceDE/>
              <w:autoSpaceDN/>
              <w:adjustRightInd/>
              <w:spacing w:after="0"/>
              <w:rPr>
                <w:rFonts w:eastAsia="Times New Roman" w:cs="Arial"/>
                <w:sz w:val="20"/>
                <w:szCs w:val="20"/>
                <w:lang w:eastAsia="en-GB"/>
              </w:rPr>
            </w:pPr>
            <w:r>
              <w:rPr>
                <w:rFonts w:cs="Arial"/>
                <w:sz w:val="20"/>
                <w:szCs w:val="20"/>
              </w:rPr>
              <w:t xml:space="preserve">0.164 </w:t>
            </w:r>
          </w:p>
        </w:tc>
        <w:tc>
          <w:tcPr>
            <w:tcW w:w="1459" w:type="dxa"/>
            <w:tcBorders>
              <w:top w:val="nil"/>
              <w:left w:val="nil"/>
              <w:bottom w:val="single" w:sz="4" w:space="0" w:color="auto"/>
              <w:right w:val="single" w:sz="4" w:space="0" w:color="auto"/>
            </w:tcBorders>
            <w:shd w:val="clear" w:color="000000" w:fill="FFFFFF"/>
            <w:hideMark/>
          </w:tcPr>
          <w:p w14:paraId="033877FB" w14:textId="77777777" w:rsidR="00431B9C" w:rsidRPr="00EB42C6" w:rsidRDefault="00431B9C" w:rsidP="0049320F">
            <w:pPr>
              <w:autoSpaceDE/>
              <w:autoSpaceDN/>
              <w:adjustRightInd/>
              <w:spacing w:after="0"/>
              <w:rPr>
                <w:rFonts w:eastAsia="Times New Roman" w:cs="Arial"/>
                <w:sz w:val="20"/>
                <w:szCs w:val="20"/>
                <w:lang w:eastAsia="en-GB"/>
              </w:rPr>
            </w:pPr>
            <w:r>
              <w:rPr>
                <w:rFonts w:cs="Arial"/>
                <w:sz w:val="20"/>
                <w:szCs w:val="20"/>
              </w:rPr>
              <w:t xml:space="preserve">0.164 </w:t>
            </w:r>
          </w:p>
        </w:tc>
        <w:tc>
          <w:tcPr>
            <w:tcW w:w="1459" w:type="dxa"/>
            <w:tcBorders>
              <w:top w:val="nil"/>
              <w:left w:val="nil"/>
              <w:bottom w:val="single" w:sz="4" w:space="0" w:color="auto"/>
              <w:right w:val="single" w:sz="4" w:space="0" w:color="auto"/>
            </w:tcBorders>
            <w:shd w:val="clear" w:color="000000" w:fill="FFFFFF"/>
            <w:hideMark/>
          </w:tcPr>
          <w:p w14:paraId="285F84D8" w14:textId="77777777" w:rsidR="00431B9C" w:rsidRPr="00EB42C6" w:rsidRDefault="00431B9C" w:rsidP="0049320F">
            <w:pPr>
              <w:autoSpaceDE/>
              <w:autoSpaceDN/>
              <w:adjustRightInd/>
              <w:spacing w:after="0"/>
              <w:rPr>
                <w:rFonts w:eastAsia="Times New Roman" w:cs="Arial"/>
                <w:sz w:val="20"/>
                <w:szCs w:val="20"/>
                <w:lang w:eastAsia="en-GB"/>
              </w:rPr>
            </w:pPr>
            <w:r>
              <w:rPr>
                <w:rFonts w:cs="Arial"/>
                <w:sz w:val="20"/>
                <w:szCs w:val="20"/>
              </w:rPr>
              <w:t xml:space="preserve">0.000 </w:t>
            </w:r>
          </w:p>
        </w:tc>
      </w:tr>
      <w:tr w:rsidR="00431B9C" w:rsidRPr="00EB42C6" w14:paraId="361064EA" w14:textId="77777777" w:rsidTr="00431B9C">
        <w:trPr>
          <w:trHeight w:val="276"/>
        </w:trPr>
        <w:tc>
          <w:tcPr>
            <w:tcW w:w="784" w:type="dxa"/>
            <w:tcBorders>
              <w:top w:val="nil"/>
              <w:left w:val="single" w:sz="4" w:space="0" w:color="auto"/>
              <w:bottom w:val="single" w:sz="4" w:space="0" w:color="auto"/>
              <w:right w:val="single" w:sz="4" w:space="0" w:color="auto"/>
            </w:tcBorders>
            <w:shd w:val="clear" w:color="000000" w:fill="FFFFFF"/>
            <w:noWrap/>
            <w:hideMark/>
          </w:tcPr>
          <w:p w14:paraId="60046C84" w14:textId="56174B07" w:rsidR="00431B9C" w:rsidRPr="00EB42C6" w:rsidRDefault="00622590" w:rsidP="0049320F">
            <w:pPr>
              <w:autoSpaceDE/>
              <w:autoSpaceDN/>
              <w:adjustRightInd/>
              <w:spacing w:after="0"/>
              <w:rPr>
                <w:rFonts w:eastAsia="Times New Roman" w:cs="Arial"/>
                <w:b/>
                <w:bCs/>
                <w:sz w:val="20"/>
                <w:szCs w:val="20"/>
                <w:lang w:eastAsia="en-GB"/>
              </w:rPr>
            </w:pPr>
            <w:r>
              <w:rPr>
                <w:rFonts w:eastAsia="Times New Roman" w:cs="Arial"/>
                <w:b/>
                <w:bCs/>
                <w:sz w:val="20"/>
                <w:szCs w:val="20"/>
                <w:lang w:eastAsia="en-GB"/>
              </w:rPr>
              <w:t>3.3</w:t>
            </w:r>
            <w:r w:rsidR="00431B9C" w:rsidRPr="00EB42C6">
              <w:rPr>
                <w:rFonts w:eastAsia="Times New Roman" w:cs="Arial"/>
                <w:b/>
                <w:bCs/>
                <w:sz w:val="20"/>
                <w:szCs w:val="20"/>
                <w:lang w:eastAsia="en-GB"/>
              </w:rPr>
              <w:t>.2</w:t>
            </w:r>
          </w:p>
        </w:tc>
        <w:tc>
          <w:tcPr>
            <w:tcW w:w="3986" w:type="dxa"/>
            <w:tcBorders>
              <w:top w:val="nil"/>
              <w:left w:val="nil"/>
              <w:bottom w:val="single" w:sz="4" w:space="0" w:color="auto"/>
              <w:right w:val="single" w:sz="4" w:space="0" w:color="auto"/>
            </w:tcBorders>
            <w:shd w:val="clear" w:color="000000" w:fill="FFFFFF"/>
            <w:hideMark/>
          </w:tcPr>
          <w:p w14:paraId="24C3F3D3" w14:textId="77777777" w:rsidR="00431B9C" w:rsidRPr="00EB42C6" w:rsidRDefault="00431B9C" w:rsidP="0049320F">
            <w:pPr>
              <w:autoSpaceDE/>
              <w:autoSpaceDN/>
              <w:adjustRightInd/>
              <w:spacing w:after="0"/>
              <w:rPr>
                <w:rFonts w:eastAsia="Times New Roman" w:cs="Arial"/>
                <w:sz w:val="20"/>
                <w:szCs w:val="20"/>
                <w:lang w:eastAsia="en-GB"/>
              </w:rPr>
            </w:pPr>
            <w:r>
              <w:rPr>
                <w:rFonts w:cs="Arial"/>
                <w:sz w:val="20"/>
                <w:szCs w:val="20"/>
              </w:rPr>
              <w:t>CUSTOMER ACCESS</w:t>
            </w:r>
          </w:p>
        </w:tc>
        <w:tc>
          <w:tcPr>
            <w:tcW w:w="1459" w:type="dxa"/>
            <w:tcBorders>
              <w:top w:val="nil"/>
              <w:left w:val="nil"/>
              <w:bottom w:val="single" w:sz="4" w:space="0" w:color="auto"/>
              <w:right w:val="single" w:sz="4" w:space="0" w:color="auto"/>
            </w:tcBorders>
            <w:shd w:val="clear" w:color="000000" w:fill="FFFFFF"/>
            <w:hideMark/>
          </w:tcPr>
          <w:p w14:paraId="0C6DA066" w14:textId="77777777" w:rsidR="00431B9C" w:rsidRPr="00EB42C6" w:rsidRDefault="00431B9C" w:rsidP="0049320F">
            <w:pPr>
              <w:autoSpaceDE/>
              <w:autoSpaceDN/>
              <w:adjustRightInd/>
              <w:spacing w:after="0"/>
              <w:rPr>
                <w:rFonts w:eastAsia="Times New Roman" w:cs="Arial"/>
                <w:sz w:val="20"/>
                <w:szCs w:val="20"/>
                <w:lang w:eastAsia="en-GB"/>
              </w:rPr>
            </w:pPr>
            <w:r>
              <w:rPr>
                <w:rFonts w:cs="Arial"/>
                <w:sz w:val="20"/>
                <w:szCs w:val="20"/>
              </w:rPr>
              <w:t xml:space="preserve">3.615 </w:t>
            </w:r>
          </w:p>
        </w:tc>
        <w:tc>
          <w:tcPr>
            <w:tcW w:w="1459" w:type="dxa"/>
            <w:tcBorders>
              <w:top w:val="nil"/>
              <w:left w:val="nil"/>
              <w:bottom w:val="single" w:sz="4" w:space="0" w:color="auto"/>
              <w:right w:val="single" w:sz="4" w:space="0" w:color="auto"/>
            </w:tcBorders>
            <w:shd w:val="clear" w:color="000000" w:fill="FFFFFF"/>
            <w:hideMark/>
          </w:tcPr>
          <w:p w14:paraId="64AF2C1D" w14:textId="77777777" w:rsidR="00431B9C" w:rsidRPr="00EB42C6" w:rsidRDefault="00431B9C" w:rsidP="0049320F">
            <w:pPr>
              <w:autoSpaceDE/>
              <w:autoSpaceDN/>
              <w:adjustRightInd/>
              <w:spacing w:after="0"/>
              <w:rPr>
                <w:rFonts w:eastAsia="Times New Roman" w:cs="Arial"/>
                <w:sz w:val="20"/>
                <w:szCs w:val="20"/>
                <w:lang w:eastAsia="en-GB"/>
              </w:rPr>
            </w:pPr>
            <w:r>
              <w:rPr>
                <w:rFonts w:cs="Arial"/>
                <w:sz w:val="20"/>
                <w:szCs w:val="20"/>
              </w:rPr>
              <w:t xml:space="preserve">3.480 </w:t>
            </w:r>
          </w:p>
        </w:tc>
        <w:tc>
          <w:tcPr>
            <w:tcW w:w="1459" w:type="dxa"/>
            <w:tcBorders>
              <w:top w:val="nil"/>
              <w:left w:val="nil"/>
              <w:bottom w:val="single" w:sz="4" w:space="0" w:color="auto"/>
              <w:right w:val="single" w:sz="4" w:space="0" w:color="auto"/>
            </w:tcBorders>
            <w:shd w:val="clear" w:color="000000" w:fill="FFFFFF"/>
            <w:hideMark/>
          </w:tcPr>
          <w:p w14:paraId="2F3C442E" w14:textId="77777777" w:rsidR="00431B9C" w:rsidRPr="00EB42C6" w:rsidRDefault="00431B9C" w:rsidP="0049320F">
            <w:pPr>
              <w:autoSpaceDE/>
              <w:autoSpaceDN/>
              <w:adjustRightInd/>
              <w:spacing w:after="0"/>
              <w:rPr>
                <w:rFonts w:eastAsia="Times New Roman" w:cs="Arial"/>
                <w:sz w:val="20"/>
                <w:szCs w:val="20"/>
                <w:lang w:eastAsia="en-GB"/>
              </w:rPr>
            </w:pPr>
            <w:r>
              <w:rPr>
                <w:rFonts w:cs="Arial"/>
                <w:sz w:val="20"/>
                <w:szCs w:val="20"/>
              </w:rPr>
              <w:t xml:space="preserve">-0.135 </w:t>
            </w:r>
          </w:p>
        </w:tc>
      </w:tr>
      <w:tr w:rsidR="00431B9C" w:rsidRPr="00EB42C6" w14:paraId="2F040BDA" w14:textId="77777777" w:rsidTr="00431B9C">
        <w:trPr>
          <w:trHeight w:val="276"/>
        </w:trPr>
        <w:tc>
          <w:tcPr>
            <w:tcW w:w="784" w:type="dxa"/>
            <w:tcBorders>
              <w:top w:val="nil"/>
              <w:left w:val="single" w:sz="4" w:space="0" w:color="auto"/>
              <w:bottom w:val="single" w:sz="4" w:space="0" w:color="auto"/>
              <w:right w:val="single" w:sz="4" w:space="0" w:color="auto"/>
            </w:tcBorders>
            <w:shd w:val="clear" w:color="000000" w:fill="FFFFFF"/>
            <w:noWrap/>
            <w:hideMark/>
          </w:tcPr>
          <w:p w14:paraId="2DFC346F" w14:textId="3F25D013" w:rsidR="00431B9C" w:rsidRPr="00EB42C6" w:rsidRDefault="00622590" w:rsidP="0049320F">
            <w:pPr>
              <w:autoSpaceDE/>
              <w:autoSpaceDN/>
              <w:adjustRightInd/>
              <w:spacing w:after="0"/>
              <w:rPr>
                <w:rFonts w:eastAsia="Times New Roman" w:cs="Arial"/>
                <w:b/>
                <w:bCs/>
                <w:sz w:val="20"/>
                <w:szCs w:val="20"/>
                <w:lang w:eastAsia="en-GB"/>
              </w:rPr>
            </w:pPr>
            <w:r>
              <w:rPr>
                <w:rFonts w:eastAsia="Times New Roman" w:cs="Arial"/>
                <w:b/>
                <w:bCs/>
                <w:sz w:val="20"/>
                <w:szCs w:val="20"/>
                <w:lang w:eastAsia="en-GB"/>
              </w:rPr>
              <w:t>3.3</w:t>
            </w:r>
            <w:r w:rsidR="00431B9C" w:rsidRPr="00EB42C6">
              <w:rPr>
                <w:rFonts w:eastAsia="Times New Roman" w:cs="Arial"/>
                <w:b/>
                <w:bCs/>
                <w:sz w:val="20"/>
                <w:szCs w:val="20"/>
                <w:lang w:eastAsia="en-GB"/>
              </w:rPr>
              <w:t>.3</w:t>
            </w:r>
          </w:p>
        </w:tc>
        <w:tc>
          <w:tcPr>
            <w:tcW w:w="3986" w:type="dxa"/>
            <w:tcBorders>
              <w:top w:val="nil"/>
              <w:left w:val="nil"/>
              <w:bottom w:val="single" w:sz="4" w:space="0" w:color="auto"/>
              <w:right w:val="single" w:sz="4" w:space="0" w:color="auto"/>
            </w:tcBorders>
            <w:shd w:val="clear" w:color="000000" w:fill="FFFFFF"/>
            <w:hideMark/>
          </w:tcPr>
          <w:p w14:paraId="3F744E7B" w14:textId="77777777" w:rsidR="00431B9C" w:rsidRPr="00EB42C6" w:rsidRDefault="00431B9C" w:rsidP="0049320F">
            <w:pPr>
              <w:autoSpaceDE/>
              <w:autoSpaceDN/>
              <w:adjustRightInd/>
              <w:spacing w:after="0"/>
              <w:rPr>
                <w:rFonts w:eastAsia="Times New Roman" w:cs="Arial"/>
                <w:sz w:val="20"/>
                <w:szCs w:val="20"/>
                <w:lang w:eastAsia="en-GB"/>
              </w:rPr>
            </w:pPr>
            <w:r>
              <w:rPr>
                <w:rFonts w:cs="Arial"/>
                <w:sz w:val="20"/>
                <w:szCs w:val="20"/>
              </w:rPr>
              <w:t>COMMUNITY SERVICES</w:t>
            </w:r>
          </w:p>
        </w:tc>
        <w:tc>
          <w:tcPr>
            <w:tcW w:w="1459" w:type="dxa"/>
            <w:tcBorders>
              <w:top w:val="nil"/>
              <w:left w:val="nil"/>
              <w:bottom w:val="single" w:sz="4" w:space="0" w:color="auto"/>
              <w:right w:val="single" w:sz="4" w:space="0" w:color="auto"/>
            </w:tcBorders>
            <w:shd w:val="clear" w:color="000000" w:fill="FFFFFF"/>
            <w:hideMark/>
          </w:tcPr>
          <w:p w14:paraId="6BF39B73" w14:textId="77777777" w:rsidR="00431B9C" w:rsidRPr="00EB42C6" w:rsidRDefault="00431B9C" w:rsidP="0049320F">
            <w:pPr>
              <w:autoSpaceDE/>
              <w:autoSpaceDN/>
              <w:adjustRightInd/>
              <w:spacing w:after="0"/>
              <w:rPr>
                <w:rFonts w:eastAsia="Times New Roman" w:cs="Arial"/>
                <w:sz w:val="20"/>
                <w:szCs w:val="20"/>
                <w:lang w:eastAsia="en-GB"/>
              </w:rPr>
            </w:pPr>
            <w:r>
              <w:rPr>
                <w:rFonts w:cs="Arial"/>
                <w:sz w:val="20"/>
                <w:szCs w:val="20"/>
              </w:rPr>
              <w:t xml:space="preserve">0.126 </w:t>
            </w:r>
          </w:p>
        </w:tc>
        <w:tc>
          <w:tcPr>
            <w:tcW w:w="1459" w:type="dxa"/>
            <w:tcBorders>
              <w:top w:val="nil"/>
              <w:left w:val="nil"/>
              <w:bottom w:val="single" w:sz="4" w:space="0" w:color="auto"/>
              <w:right w:val="single" w:sz="4" w:space="0" w:color="auto"/>
            </w:tcBorders>
            <w:shd w:val="clear" w:color="000000" w:fill="FFFFFF"/>
            <w:hideMark/>
          </w:tcPr>
          <w:p w14:paraId="7B9F71A7" w14:textId="77777777" w:rsidR="00431B9C" w:rsidRPr="00EB42C6" w:rsidRDefault="00431B9C" w:rsidP="0049320F">
            <w:pPr>
              <w:autoSpaceDE/>
              <w:autoSpaceDN/>
              <w:adjustRightInd/>
              <w:spacing w:after="0"/>
              <w:rPr>
                <w:rFonts w:eastAsia="Times New Roman" w:cs="Arial"/>
                <w:sz w:val="20"/>
                <w:szCs w:val="20"/>
                <w:lang w:eastAsia="en-GB"/>
              </w:rPr>
            </w:pPr>
            <w:r>
              <w:rPr>
                <w:rFonts w:cs="Arial"/>
                <w:sz w:val="20"/>
                <w:szCs w:val="20"/>
              </w:rPr>
              <w:t xml:space="preserve">0.126 </w:t>
            </w:r>
          </w:p>
        </w:tc>
        <w:tc>
          <w:tcPr>
            <w:tcW w:w="1459" w:type="dxa"/>
            <w:tcBorders>
              <w:top w:val="nil"/>
              <w:left w:val="nil"/>
              <w:bottom w:val="single" w:sz="4" w:space="0" w:color="auto"/>
              <w:right w:val="single" w:sz="4" w:space="0" w:color="auto"/>
            </w:tcBorders>
            <w:shd w:val="clear" w:color="000000" w:fill="FFFFFF"/>
            <w:hideMark/>
          </w:tcPr>
          <w:p w14:paraId="2ED7FCA5" w14:textId="77777777" w:rsidR="00431B9C" w:rsidRPr="00EB42C6" w:rsidRDefault="00431B9C" w:rsidP="0049320F">
            <w:pPr>
              <w:autoSpaceDE/>
              <w:autoSpaceDN/>
              <w:adjustRightInd/>
              <w:spacing w:after="0"/>
              <w:rPr>
                <w:rFonts w:eastAsia="Times New Roman" w:cs="Arial"/>
                <w:sz w:val="20"/>
                <w:szCs w:val="20"/>
                <w:lang w:eastAsia="en-GB"/>
              </w:rPr>
            </w:pPr>
            <w:r>
              <w:rPr>
                <w:rFonts w:cs="Arial"/>
                <w:sz w:val="20"/>
                <w:szCs w:val="20"/>
              </w:rPr>
              <w:t xml:space="preserve">0.000 </w:t>
            </w:r>
          </w:p>
        </w:tc>
      </w:tr>
      <w:tr w:rsidR="00431B9C" w:rsidRPr="00EB42C6" w14:paraId="1C64F9B2" w14:textId="77777777" w:rsidTr="00431B9C">
        <w:trPr>
          <w:trHeight w:val="553"/>
        </w:trPr>
        <w:tc>
          <w:tcPr>
            <w:tcW w:w="784" w:type="dxa"/>
            <w:tcBorders>
              <w:top w:val="nil"/>
              <w:left w:val="single" w:sz="4" w:space="0" w:color="auto"/>
              <w:bottom w:val="single" w:sz="4" w:space="0" w:color="auto"/>
              <w:right w:val="single" w:sz="4" w:space="0" w:color="auto"/>
            </w:tcBorders>
            <w:shd w:val="clear" w:color="000000" w:fill="FFFFFF"/>
            <w:noWrap/>
            <w:hideMark/>
          </w:tcPr>
          <w:p w14:paraId="49476FBB" w14:textId="7477D9F5" w:rsidR="00431B9C" w:rsidRPr="00EB42C6" w:rsidRDefault="00622590" w:rsidP="0049320F">
            <w:pPr>
              <w:autoSpaceDE/>
              <w:autoSpaceDN/>
              <w:adjustRightInd/>
              <w:spacing w:after="0"/>
              <w:rPr>
                <w:rFonts w:eastAsia="Times New Roman" w:cs="Arial"/>
                <w:b/>
                <w:bCs/>
                <w:sz w:val="20"/>
                <w:szCs w:val="20"/>
                <w:lang w:eastAsia="en-GB"/>
              </w:rPr>
            </w:pPr>
            <w:r>
              <w:rPr>
                <w:rFonts w:eastAsia="Times New Roman" w:cs="Arial"/>
                <w:b/>
                <w:bCs/>
                <w:sz w:val="20"/>
                <w:szCs w:val="20"/>
                <w:lang w:eastAsia="en-GB"/>
              </w:rPr>
              <w:t>3.3</w:t>
            </w:r>
            <w:r w:rsidR="00431B9C" w:rsidRPr="00EB42C6">
              <w:rPr>
                <w:rFonts w:eastAsia="Times New Roman" w:cs="Arial"/>
                <w:b/>
                <w:bCs/>
                <w:sz w:val="20"/>
                <w:szCs w:val="20"/>
                <w:lang w:eastAsia="en-GB"/>
              </w:rPr>
              <w:t>.4</w:t>
            </w:r>
          </w:p>
        </w:tc>
        <w:tc>
          <w:tcPr>
            <w:tcW w:w="3986" w:type="dxa"/>
            <w:tcBorders>
              <w:top w:val="nil"/>
              <w:left w:val="nil"/>
              <w:bottom w:val="single" w:sz="4" w:space="0" w:color="auto"/>
              <w:right w:val="single" w:sz="4" w:space="0" w:color="auto"/>
            </w:tcBorders>
            <w:shd w:val="clear" w:color="000000" w:fill="FFFFFF"/>
            <w:hideMark/>
          </w:tcPr>
          <w:p w14:paraId="549621FD" w14:textId="77777777" w:rsidR="00431B9C" w:rsidRPr="00EB42C6" w:rsidRDefault="00431B9C" w:rsidP="0049320F">
            <w:pPr>
              <w:autoSpaceDE/>
              <w:autoSpaceDN/>
              <w:adjustRightInd/>
              <w:spacing w:after="0"/>
              <w:rPr>
                <w:rFonts w:eastAsia="Times New Roman" w:cs="Arial"/>
                <w:sz w:val="20"/>
                <w:szCs w:val="20"/>
                <w:lang w:eastAsia="en-GB"/>
              </w:rPr>
            </w:pPr>
            <w:r>
              <w:rPr>
                <w:rFonts w:cs="Arial"/>
                <w:sz w:val="20"/>
                <w:szCs w:val="20"/>
              </w:rPr>
              <w:t>HIGHWAYS</w:t>
            </w:r>
          </w:p>
        </w:tc>
        <w:tc>
          <w:tcPr>
            <w:tcW w:w="1459" w:type="dxa"/>
            <w:tcBorders>
              <w:top w:val="nil"/>
              <w:left w:val="nil"/>
              <w:bottom w:val="single" w:sz="4" w:space="0" w:color="auto"/>
              <w:right w:val="single" w:sz="4" w:space="0" w:color="auto"/>
            </w:tcBorders>
            <w:shd w:val="clear" w:color="000000" w:fill="FFFFFF"/>
            <w:hideMark/>
          </w:tcPr>
          <w:p w14:paraId="1EA2C493" w14:textId="77777777" w:rsidR="00431B9C" w:rsidRPr="00EB42C6" w:rsidRDefault="00431B9C" w:rsidP="0049320F">
            <w:pPr>
              <w:autoSpaceDE/>
              <w:autoSpaceDN/>
              <w:adjustRightInd/>
              <w:spacing w:after="0"/>
              <w:rPr>
                <w:rFonts w:eastAsia="Times New Roman" w:cs="Arial"/>
                <w:sz w:val="20"/>
                <w:szCs w:val="20"/>
                <w:lang w:eastAsia="en-GB"/>
              </w:rPr>
            </w:pPr>
            <w:r>
              <w:rPr>
                <w:rFonts w:cs="Arial"/>
                <w:sz w:val="20"/>
                <w:szCs w:val="20"/>
              </w:rPr>
              <w:t xml:space="preserve">21.248 </w:t>
            </w:r>
          </w:p>
        </w:tc>
        <w:tc>
          <w:tcPr>
            <w:tcW w:w="1459" w:type="dxa"/>
            <w:tcBorders>
              <w:top w:val="nil"/>
              <w:left w:val="nil"/>
              <w:bottom w:val="single" w:sz="4" w:space="0" w:color="auto"/>
              <w:right w:val="single" w:sz="4" w:space="0" w:color="auto"/>
            </w:tcBorders>
            <w:shd w:val="clear" w:color="000000" w:fill="FFFFFF"/>
            <w:hideMark/>
          </w:tcPr>
          <w:p w14:paraId="655BF0D3" w14:textId="77777777" w:rsidR="00431B9C" w:rsidRPr="00EB42C6" w:rsidRDefault="00431B9C" w:rsidP="0049320F">
            <w:pPr>
              <w:autoSpaceDE/>
              <w:autoSpaceDN/>
              <w:adjustRightInd/>
              <w:spacing w:after="0"/>
              <w:rPr>
                <w:rFonts w:eastAsia="Times New Roman" w:cs="Arial"/>
                <w:sz w:val="20"/>
                <w:szCs w:val="20"/>
                <w:lang w:eastAsia="en-GB"/>
              </w:rPr>
            </w:pPr>
            <w:r>
              <w:rPr>
                <w:rFonts w:cs="Arial"/>
                <w:sz w:val="20"/>
                <w:szCs w:val="20"/>
              </w:rPr>
              <w:t xml:space="preserve">20.957 </w:t>
            </w:r>
          </w:p>
        </w:tc>
        <w:tc>
          <w:tcPr>
            <w:tcW w:w="1459" w:type="dxa"/>
            <w:tcBorders>
              <w:top w:val="nil"/>
              <w:left w:val="nil"/>
              <w:bottom w:val="single" w:sz="4" w:space="0" w:color="auto"/>
              <w:right w:val="single" w:sz="4" w:space="0" w:color="auto"/>
            </w:tcBorders>
            <w:shd w:val="clear" w:color="000000" w:fill="FFFFFF"/>
            <w:hideMark/>
          </w:tcPr>
          <w:p w14:paraId="1332BC0D" w14:textId="77777777" w:rsidR="00431B9C" w:rsidRPr="00EB42C6" w:rsidRDefault="00431B9C" w:rsidP="0049320F">
            <w:pPr>
              <w:autoSpaceDE/>
              <w:autoSpaceDN/>
              <w:adjustRightInd/>
              <w:spacing w:after="0"/>
              <w:rPr>
                <w:rFonts w:eastAsia="Times New Roman" w:cs="Arial"/>
                <w:sz w:val="20"/>
                <w:szCs w:val="20"/>
                <w:lang w:eastAsia="en-GB"/>
              </w:rPr>
            </w:pPr>
            <w:r>
              <w:rPr>
                <w:rFonts w:cs="Arial"/>
                <w:sz w:val="20"/>
                <w:szCs w:val="20"/>
              </w:rPr>
              <w:t xml:space="preserve">-0.291 </w:t>
            </w:r>
          </w:p>
        </w:tc>
      </w:tr>
      <w:tr w:rsidR="00431B9C" w:rsidRPr="00EB42C6" w14:paraId="03122EAD" w14:textId="77777777" w:rsidTr="00431B9C">
        <w:trPr>
          <w:trHeight w:val="276"/>
        </w:trPr>
        <w:tc>
          <w:tcPr>
            <w:tcW w:w="784" w:type="dxa"/>
            <w:tcBorders>
              <w:top w:val="nil"/>
              <w:left w:val="single" w:sz="4" w:space="0" w:color="auto"/>
              <w:bottom w:val="single" w:sz="4" w:space="0" w:color="auto"/>
              <w:right w:val="single" w:sz="4" w:space="0" w:color="auto"/>
            </w:tcBorders>
            <w:shd w:val="clear" w:color="000000" w:fill="FFFFFF"/>
            <w:noWrap/>
            <w:hideMark/>
          </w:tcPr>
          <w:p w14:paraId="68CBD344" w14:textId="3206FA24" w:rsidR="00431B9C" w:rsidRPr="00EB42C6" w:rsidRDefault="00622590" w:rsidP="0049320F">
            <w:pPr>
              <w:autoSpaceDE/>
              <w:autoSpaceDN/>
              <w:adjustRightInd/>
              <w:spacing w:after="0"/>
              <w:rPr>
                <w:rFonts w:eastAsia="Times New Roman" w:cs="Arial"/>
                <w:b/>
                <w:bCs/>
                <w:sz w:val="20"/>
                <w:szCs w:val="20"/>
                <w:lang w:eastAsia="en-GB"/>
              </w:rPr>
            </w:pPr>
            <w:r>
              <w:rPr>
                <w:rFonts w:eastAsia="Times New Roman" w:cs="Arial"/>
                <w:b/>
                <w:bCs/>
                <w:sz w:val="20"/>
                <w:szCs w:val="20"/>
                <w:lang w:eastAsia="en-GB"/>
              </w:rPr>
              <w:t>3.3</w:t>
            </w:r>
            <w:r w:rsidR="00431B9C" w:rsidRPr="00EB42C6">
              <w:rPr>
                <w:rFonts w:eastAsia="Times New Roman" w:cs="Arial"/>
                <w:b/>
                <w:bCs/>
                <w:sz w:val="20"/>
                <w:szCs w:val="20"/>
                <w:lang w:eastAsia="en-GB"/>
              </w:rPr>
              <w:t>.5</w:t>
            </w:r>
          </w:p>
        </w:tc>
        <w:tc>
          <w:tcPr>
            <w:tcW w:w="3986" w:type="dxa"/>
            <w:tcBorders>
              <w:top w:val="nil"/>
              <w:left w:val="nil"/>
              <w:bottom w:val="single" w:sz="4" w:space="0" w:color="auto"/>
              <w:right w:val="single" w:sz="4" w:space="0" w:color="auto"/>
            </w:tcBorders>
            <w:shd w:val="clear" w:color="000000" w:fill="FFFFFF"/>
            <w:hideMark/>
          </w:tcPr>
          <w:p w14:paraId="6E74BAFB" w14:textId="77777777" w:rsidR="00431B9C" w:rsidRPr="00EB42C6" w:rsidRDefault="00431B9C" w:rsidP="0049320F">
            <w:pPr>
              <w:autoSpaceDE/>
              <w:autoSpaceDN/>
              <w:adjustRightInd/>
              <w:spacing w:after="0"/>
              <w:rPr>
                <w:rFonts w:eastAsia="Times New Roman" w:cs="Arial"/>
                <w:sz w:val="20"/>
                <w:szCs w:val="20"/>
                <w:lang w:eastAsia="en-GB"/>
              </w:rPr>
            </w:pPr>
            <w:r>
              <w:rPr>
                <w:rFonts w:cs="Arial"/>
                <w:sz w:val="20"/>
                <w:szCs w:val="20"/>
              </w:rPr>
              <w:t>LIBRARIES  MUSEUMS  CULTURE &amp; REGISTRARS</w:t>
            </w:r>
          </w:p>
        </w:tc>
        <w:tc>
          <w:tcPr>
            <w:tcW w:w="1459" w:type="dxa"/>
            <w:tcBorders>
              <w:top w:val="nil"/>
              <w:left w:val="nil"/>
              <w:bottom w:val="single" w:sz="4" w:space="0" w:color="auto"/>
              <w:right w:val="single" w:sz="4" w:space="0" w:color="auto"/>
            </w:tcBorders>
            <w:shd w:val="clear" w:color="000000" w:fill="FFFFFF"/>
            <w:hideMark/>
          </w:tcPr>
          <w:p w14:paraId="0F3622E0" w14:textId="77777777" w:rsidR="00431B9C" w:rsidRPr="00EB42C6" w:rsidRDefault="00431B9C" w:rsidP="0049320F">
            <w:pPr>
              <w:autoSpaceDE/>
              <w:autoSpaceDN/>
              <w:adjustRightInd/>
              <w:spacing w:after="0"/>
              <w:rPr>
                <w:rFonts w:eastAsia="Times New Roman" w:cs="Arial"/>
                <w:sz w:val="20"/>
                <w:szCs w:val="20"/>
                <w:lang w:eastAsia="en-GB"/>
              </w:rPr>
            </w:pPr>
            <w:r>
              <w:rPr>
                <w:rFonts w:cs="Arial"/>
                <w:sz w:val="20"/>
                <w:szCs w:val="20"/>
              </w:rPr>
              <w:t xml:space="preserve">9.698 </w:t>
            </w:r>
          </w:p>
        </w:tc>
        <w:tc>
          <w:tcPr>
            <w:tcW w:w="1459" w:type="dxa"/>
            <w:tcBorders>
              <w:top w:val="nil"/>
              <w:left w:val="nil"/>
              <w:bottom w:val="single" w:sz="4" w:space="0" w:color="auto"/>
              <w:right w:val="single" w:sz="4" w:space="0" w:color="auto"/>
            </w:tcBorders>
            <w:shd w:val="clear" w:color="000000" w:fill="FFFFFF"/>
            <w:hideMark/>
          </w:tcPr>
          <w:p w14:paraId="2AE4B03C" w14:textId="77777777" w:rsidR="00431B9C" w:rsidRPr="00EB42C6" w:rsidRDefault="00431B9C" w:rsidP="0049320F">
            <w:pPr>
              <w:autoSpaceDE/>
              <w:autoSpaceDN/>
              <w:adjustRightInd/>
              <w:spacing w:after="0"/>
              <w:rPr>
                <w:rFonts w:eastAsia="Times New Roman" w:cs="Arial"/>
                <w:sz w:val="20"/>
                <w:szCs w:val="20"/>
                <w:lang w:eastAsia="en-GB"/>
              </w:rPr>
            </w:pPr>
            <w:r>
              <w:rPr>
                <w:rFonts w:cs="Arial"/>
                <w:sz w:val="20"/>
                <w:szCs w:val="20"/>
              </w:rPr>
              <w:t xml:space="preserve">10.075 </w:t>
            </w:r>
          </w:p>
        </w:tc>
        <w:tc>
          <w:tcPr>
            <w:tcW w:w="1459" w:type="dxa"/>
            <w:tcBorders>
              <w:top w:val="nil"/>
              <w:left w:val="nil"/>
              <w:bottom w:val="single" w:sz="4" w:space="0" w:color="auto"/>
              <w:right w:val="single" w:sz="4" w:space="0" w:color="auto"/>
            </w:tcBorders>
            <w:shd w:val="clear" w:color="000000" w:fill="FFFFFF"/>
            <w:hideMark/>
          </w:tcPr>
          <w:p w14:paraId="2249C4DE" w14:textId="77777777" w:rsidR="00431B9C" w:rsidRPr="00EB42C6" w:rsidRDefault="00431B9C" w:rsidP="0049320F">
            <w:pPr>
              <w:autoSpaceDE/>
              <w:autoSpaceDN/>
              <w:adjustRightInd/>
              <w:spacing w:after="0"/>
              <w:rPr>
                <w:rFonts w:eastAsia="Times New Roman" w:cs="Arial"/>
                <w:sz w:val="20"/>
                <w:szCs w:val="20"/>
                <w:lang w:eastAsia="en-GB"/>
              </w:rPr>
            </w:pPr>
            <w:r>
              <w:rPr>
                <w:rFonts w:cs="Arial"/>
                <w:sz w:val="20"/>
                <w:szCs w:val="20"/>
              </w:rPr>
              <w:t xml:space="preserve">0.377 </w:t>
            </w:r>
          </w:p>
        </w:tc>
      </w:tr>
      <w:tr w:rsidR="00431B9C" w:rsidRPr="00EB42C6" w14:paraId="76590ADE" w14:textId="77777777" w:rsidTr="00431B9C">
        <w:trPr>
          <w:trHeight w:val="276"/>
        </w:trPr>
        <w:tc>
          <w:tcPr>
            <w:tcW w:w="784" w:type="dxa"/>
            <w:tcBorders>
              <w:top w:val="nil"/>
              <w:left w:val="single" w:sz="4" w:space="0" w:color="auto"/>
              <w:bottom w:val="single" w:sz="4" w:space="0" w:color="auto"/>
              <w:right w:val="single" w:sz="4" w:space="0" w:color="auto"/>
            </w:tcBorders>
            <w:shd w:val="clear" w:color="000000" w:fill="FFFFFF"/>
            <w:noWrap/>
            <w:hideMark/>
          </w:tcPr>
          <w:p w14:paraId="6B9554E6" w14:textId="1A24F824" w:rsidR="00431B9C" w:rsidRPr="00EB42C6" w:rsidRDefault="00622590" w:rsidP="0049320F">
            <w:pPr>
              <w:autoSpaceDE/>
              <w:autoSpaceDN/>
              <w:adjustRightInd/>
              <w:spacing w:after="0"/>
              <w:rPr>
                <w:rFonts w:eastAsia="Times New Roman" w:cs="Arial"/>
                <w:b/>
                <w:bCs/>
                <w:sz w:val="20"/>
                <w:szCs w:val="20"/>
                <w:lang w:eastAsia="en-GB"/>
              </w:rPr>
            </w:pPr>
            <w:r>
              <w:rPr>
                <w:rFonts w:eastAsia="Times New Roman" w:cs="Arial"/>
                <w:b/>
                <w:bCs/>
                <w:sz w:val="20"/>
                <w:szCs w:val="20"/>
                <w:lang w:eastAsia="en-GB"/>
              </w:rPr>
              <w:t>3.3</w:t>
            </w:r>
            <w:r w:rsidR="00431B9C" w:rsidRPr="00EB42C6">
              <w:rPr>
                <w:rFonts w:eastAsia="Times New Roman" w:cs="Arial"/>
                <w:b/>
                <w:bCs/>
                <w:sz w:val="20"/>
                <w:szCs w:val="20"/>
                <w:lang w:eastAsia="en-GB"/>
              </w:rPr>
              <w:t>.6</w:t>
            </w:r>
          </w:p>
        </w:tc>
        <w:tc>
          <w:tcPr>
            <w:tcW w:w="3986" w:type="dxa"/>
            <w:tcBorders>
              <w:top w:val="nil"/>
              <w:left w:val="nil"/>
              <w:bottom w:val="single" w:sz="4" w:space="0" w:color="auto"/>
              <w:right w:val="single" w:sz="4" w:space="0" w:color="auto"/>
            </w:tcBorders>
            <w:shd w:val="clear" w:color="000000" w:fill="FFFFFF"/>
            <w:hideMark/>
          </w:tcPr>
          <w:p w14:paraId="5AE6E248" w14:textId="77777777" w:rsidR="00431B9C" w:rsidRPr="00EB42C6" w:rsidRDefault="00431B9C" w:rsidP="0049320F">
            <w:pPr>
              <w:autoSpaceDE/>
              <w:autoSpaceDN/>
              <w:adjustRightInd/>
              <w:spacing w:after="0"/>
              <w:rPr>
                <w:rFonts w:eastAsia="Times New Roman" w:cs="Arial"/>
                <w:sz w:val="20"/>
                <w:szCs w:val="20"/>
                <w:lang w:eastAsia="en-GB"/>
              </w:rPr>
            </w:pPr>
            <w:r>
              <w:rPr>
                <w:rFonts w:cs="Arial"/>
                <w:sz w:val="20"/>
                <w:szCs w:val="20"/>
              </w:rPr>
              <w:t>PUBLIC &amp; INTEGRATED TRANSPORT</w:t>
            </w:r>
          </w:p>
        </w:tc>
        <w:tc>
          <w:tcPr>
            <w:tcW w:w="1459" w:type="dxa"/>
            <w:tcBorders>
              <w:top w:val="nil"/>
              <w:left w:val="nil"/>
              <w:bottom w:val="single" w:sz="4" w:space="0" w:color="auto"/>
              <w:right w:val="single" w:sz="4" w:space="0" w:color="auto"/>
            </w:tcBorders>
            <w:shd w:val="clear" w:color="000000" w:fill="FFFFFF"/>
            <w:hideMark/>
          </w:tcPr>
          <w:p w14:paraId="6683D61F" w14:textId="77777777" w:rsidR="00431B9C" w:rsidRPr="00EB42C6" w:rsidRDefault="00431B9C" w:rsidP="0049320F">
            <w:pPr>
              <w:autoSpaceDE/>
              <w:autoSpaceDN/>
              <w:adjustRightInd/>
              <w:spacing w:after="0"/>
              <w:rPr>
                <w:rFonts w:eastAsia="Times New Roman" w:cs="Arial"/>
                <w:sz w:val="20"/>
                <w:szCs w:val="20"/>
                <w:lang w:eastAsia="en-GB"/>
              </w:rPr>
            </w:pPr>
            <w:r>
              <w:rPr>
                <w:rFonts w:cs="Arial"/>
                <w:sz w:val="20"/>
                <w:szCs w:val="20"/>
              </w:rPr>
              <w:t xml:space="preserve">42.491 </w:t>
            </w:r>
          </w:p>
        </w:tc>
        <w:tc>
          <w:tcPr>
            <w:tcW w:w="1459" w:type="dxa"/>
            <w:tcBorders>
              <w:top w:val="nil"/>
              <w:left w:val="nil"/>
              <w:bottom w:val="single" w:sz="4" w:space="0" w:color="auto"/>
              <w:right w:val="single" w:sz="4" w:space="0" w:color="auto"/>
            </w:tcBorders>
            <w:shd w:val="clear" w:color="000000" w:fill="FFFFFF"/>
            <w:hideMark/>
          </w:tcPr>
          <w:p w14:paraId="6ABA47AA" w14:textId="77777777" w:rsidR="00431B9C" w:rsidRPr="00EB42C6" w:rsidRDefault="00431B9C" w:rsidP="0049320F">
            <w:pPr>
              <w:autoSpaceDE/>
              <w:autoSpaceDN/>
              <w:adjustRightInd/>
              <w:spacing w:after="0"/>
              <w:rPr>
                <w:rFonts w:eastAsia="Times New Roman" w:cs="Arial"/>
                <w:sz w:val="20"/>
                <w:szCs w:val="20"/>
                <w:lang w:eastAsia="en-GB"/>
              </w:rPr>
            </w:pPr>
            <w:r>
              <w:rPr>
                <w:rFonts w:cs="Arial"/>
                <w:sz w:val="20"/>
                <w:szCs w:val="20"/>
              </w:rPr>
              <w:t xml:space="preserve">42.380 </w:t>
            </w:r>
          </w:p>
        </w:tc>
        <w:tc>
          <w:tcPr>
            <w:tcW w:w="1459" w:type="dxa"/>
            <w:tcBorders>
              <w:top w:val="nil"/>
              <w:left w:val="nil"/>
              <w:bottom w:val="single" w:sz="4" w:space="0" w:color="auto"/>
              <w:right w:val="single" w:sz="4" w:space="0" w:color="auto"/>
            </w:tcBorders>
            <w:shd w:val="clear" w:color="000000" w:fill="FFFFFF"/>
            <w:hideMark/>
          </w:tcPr>
          <w:p w14:paraId="075C2DE3" w14:textId="77777777" w:rsidR="00431B9C" w:rsidRPr="00EB42C6" w:rsidRDefault="00431B9C" w:rsidP="0049320F">
            <w:pPr>
              <w:autoSpaceDE/>
              <w:autoSpaceDN/>
              <w:adjustRightInd/>
              <w:spacing w:after="0"/>
              <w:rPr>
                <w:rFonts w:eastAsia="Times New Roman" w:cs="Arial"/>
                <w:sz w:val="20"/>
                <w:szCs w:val="20"/>
                <w:lang w:eastAsia="en-GB"/>
              </w:rPr>
            </w:pPr>
            <w:r>
              <w:rPr>
                <w:rFonts w:cs="Arial"/>
                <w:sz w:val="20"/>
                <w:szCs w:val="20"/>
              </w:rPr>
              <w:t xml:space="preserve">-0.111 </w:t>
            </w:r>
          </w:p>
        </w:tc>
      </w:tr>
      <w:tr w:rsidR="00431B9C" w:rsidRPr="00EB42C6" w14:paraId="06916A83" w14:textId="77777777" w:rsidTr="00431B9C">
        <w:trPr>
          <w:trHeight w:val="276"/>
        </w:trPr>
        <w:tc>
          <w:tcPr>
            <w:tcW w:w="784" w:type="dxa"/>
            <w:tcBorders>
              <w:top w:val="nil"/>
              <w:left w:val="single" w:sz="4" w:space="0" w:color="auto"/>
              <w:bottom w:val="single" w:sz="4" w:space="0" w:color="auto"/>
              <w:right w:val="single" w:sz="4" w:space="0" w:color="auto"/>
            </w:tcBorders>
            <w:shd w:val="clear" w:color="000000" w:fill="FFFFFF"/>
            <w:noWrap/>
            <w:hideMark/>
          </w:tcPr>
          <w:p w14:paraId="5102E9B3" w14:textId="7BBF599B" w:rsidR="00431B9C" w:rsidRPr="00EB42C6" w:rsidRDefault="00622590" w:rsidP="0049320F">
            <w:pPr>
              <w:autoSpaceDE/>
              <w:autoSpaceDN/>
              <w:adjustRightInd/>
              <w:spacing w:after="0"/>
              <w:rPr>
                <w:rFonts w:eastAsia="Times New Roman" w:cs="Arial"/>
                <w:b/>
                <w:bCs/>
                <w:sz w:val="20"/>
                <w:szCs w:val="20"/>
                <w:lang w:eastAsia="en-GB"/>
              </w:rPr>
            </w:pPr>
            <w:r>
              <w:rPr>
                <w:rFonts w:eastAsia="Times New Roman" w:cs="Arial"/>
                <w:b/>
                <w:bCs/>
                <w:sz w:val="20"/>
                <w:szCs w:val="20"/>
                <w:lang w:eastAsia="en-GB"/>
              </w:rPr>
              <w:t>3.3</w:t>
            </w:r>
            <w:r w:rsidR="00431B9C" w:rsidRPr="00EB42C6">
              <w:rPr>
                <w:rFonts w:eastAsia="Times New Roman" w:cs="Arial"/>
                <w:b/>
                <w:bCs/>
                <w:sz w:val="20"/>
                <w:szCs w:val="20"/>
                <w:lang w:eastAsia="en-GB"/>
              </w:rPr>
              <w:t>.7</w:t>
            </w:r>
          </w:p>
        </w:tc>
        <w:tc>
          <w:tcPr>
            <w:tcW w:w="3986" w:type="dxa"/>
            <w:tcBorders>
              <w:top w:val="nil"/>
              <w:left w:val="nil"/>
              <w:bottom w:val="single" w:sz="4" w:space="0" w:color="auto"/>
              <w:right w:val="single" w:sz="4" w:space="0" w:color="auto"/>
            </w:tcBorders>
            <w:shd w:val="clear" w:color="000000" w:fill="FFFFFF"/>
            <w:hideMark/>
          </w:tcPr>
          <w:p w14:paraId="77CC4606" w14:textId="77777777" w:rsidR="00431B9C" w:rsidRPr="00EB42C6" w:rsidRDefault="00431B9C" w:rsidP="0049320F">
            <w:pPr>
              <w:autoSpaceDE/>
              <w:autoSpaceDN/>
              <w:adjustRightInd/>
              <w:spacing w:after="0"/>
              <w:rPr>
                <w:rFonts w:eastAsia="Times New Roman" w:cs="Arial"/>
                <w:sz w:val="20"/>
                <w:szCs w:val="20"/>
                <w:lang w:eastAsia="en-GB"/>
              </w:rPr>
            </w:pPr>
            <w:r>
              <w:rPr>
                <w:rFonts w:cs="Arial"/>
                <w:sz w:val="20"/>
                <w:szCs w:val="20"/>
              </w:rPr>
              <w:t>WASTE MGT</w:t>
            </w:r>
          </w:p>
        </w:tc>
        <w:tc>
          <w:tcPr>
            <w:tcW w:w="1459" w:type="dxa"/>
            <w:tcBorders>
              <w:top w:val="nil"/>
              <w:left w:val="nil"/>
              <w:bottom w:val="single" w:sz="4" w:space="0" w:color="auto"/>
              <w:right w:val="single" w:sz="4" w:space="0" w:color="auto"/>
            </w:tcBorders>
            <w:shd w:val="clear" w:color="000000" w:fill="FFFFFF"/>
            <w:hideMark/>
          </w:tcPr>
          <w:p w14:paraId="72A757C0" w14:textId="77777777" w:rsidR="00431B9C" w:rsidRPr="00EB42C6" w:rsidRDefault="00431B9C" w:rsidP="0049320F">
            <w:pPr>
              <w:autoSpaceDE/>
              <w:autoSpaceDN/>
              <w:adjustRightInd/>
              <w:spacing w:after="0"/>
              <w:rPr>
                <w:rFonts w:eastAsia="Times New Roman" w:cs="Arial"/>
                <w:sz w:val="20"/>
                <w:szCs w:val="20"/>
                <w:lang w:eastAsia="en-GB"/>
              </w:rPr>
            </w:pPr>
            <w:r>
              <w:rPr>
                <w:rFonts w:cs="Arial"/>
                <w:sz w:val="20"/>
                <w:szCs w:val="20"/>
              </w:rPr>
              <w:t xml:space="preserve">57.269 </w:t>
            </w:r>
          </w:p>
        </w:tc>
        <w:tc>
          <w:tcPr>
            <w:tcW w:w="1459" w:type="dxa"/>
            <w:tcBorders>
              <w:top w:val="nil"/>
              <w:left w:val="nil"/>
              <w:bottom w:val="single" w:sz="4" w:space="0" w:color="auto"/>
              <w:right w:val="single" w:sz="4" w:space="0" w:color="auto"/>
            </w:tcBorders>
            <w:shd w:val="clear" w:color="000000" w:fill="FFFFFF"/>
            <w:hideMark/>
          </w:tcPr>
          <w:p w14:paraId="18DE5F75" w14:textId="77777777" w:rsidR="00431B9C" w:rsidRPr="00EB42C6" w:rsidRDefault="00431B9C" w:rsidP="0049320F">
            <w:pPr>
              <w:autoSpaceDE/>
              <w:autoSpaceDN/>
              <w:adjustRightInd/>
              <w:spacing w:after="0"/>
              <w:rPr>
                <w:rFonts w:eastAsia="Times New Roman" w:cs="Arial"/>
                <w:sz w:val="20"/>
                <w:szCs w:val="20"/>
                <w:lang w:eastAsia="en-GB"/>
              </w:rPr>
            </w:pPr>
            <w:r>
              <w:rPr>
                <w:rFonts w:cs="Arial"/>
                <w:sz w:val="20"/>
                <w:szCs w:val="20"/>
              </w:rPr>
              <w:t xml:space="preserve">59.711 </w:t>
            </w:r>
          </w:p>
        </w:tc>
        <w:tc>
          <w:tcPr>
            <w:tcW w:w="1459" w:type="dxa"/>
            <w:tcBorders>
              <w:top w:val="nil"/>
              <w:left w:val="nil"/>
              <w:bottom w:val="single" w:sz="4" w:space="0" w:color="auto"/>
              <w:right w:val="single" w:sz="4" w:space="0" w:color="auto"/>
            </w:tcBorders>
            <w:shd w:val="clear" w:color="000000" w:fill="FFFFFF"/>
            <w:hideMark/>
          </w:tcPr>
          <w:p w14:paraId="2600C4FA" w14:textId="77777777" w:rsidR="00431B9C" w:rsidRPr="00EB42C6" w:rsidRDefault="00431B9C" w:rsidP="0049320F">
            <w:pPr>
              <w:autoSpaceDE/>
              <w:autoSpaceDN/>
              <w:adjustRightInd/>
              <w:spacing w:after="0"/>
              <w:rPr>
                <w:rFonts w:eastAsia="Times New Roman" w:cs="Arial"/>
                <w:sz w:val="20"/>
                <w:szCs w:val="20"/>
                <w:lang w:eastAsia="en-GB"/>
              </w:rPr>
            </w:pPr>
            <w:r>
              <w:rPr>
                <w:rFonts w:cs="Arial"/>
                <w:sz w:val="20"/>
                <w:szCs w:val="20"/>
              </w:rPr>
              <w:t xml:space="preserve">2.442 </w:t>
            </w:r>
          </w:p>
        </w:tc>
      </w:tr>
      <w:tr w:rsidR="00431B9C" w:rsidRPr="00EB42C6" w14:paraId="585B1696" w14:textId="77777777" w:rsidTr="00431B9C">
        <w:trPr>
          <w:trHeight w:val="276"/>
        </w:trPr>
        <w:tc>
          <w:tcPr>
            <w:tcW w:w="784" w:type="dxa"/>
            <w:tcBorders>
              <w:top w:val="nil"/>
              <w:left w:val="single" w:sz="4" w:space="0" w:color="auto"/>
              <w:bottom w:val="single" w:sz="4" w:space="0" w:color="auto"/>
              <w:right w:val="single" w:sz="4" w:space="0" w:color="auto"/>
            </w:tcBorders>
            <w:shd w:val="clear" w:color="000000" w:fill="D9D9D9"/>
            <w:vAlign w:val="center"/>
            <w:hideMark/>
          </w:tcPr>
          <w:p w14:paraId="13AFE634" w14:textId="77777777" w:rsidR="00431B9C" w:rsidRPr="00EB42C6" w:rsidRDefault="00431B9C" w:rsidP="0049320F">
            <w:pPr>
              <w:autoSpaceDE/>
              <w:autoSpaceDN/>
              <w:adjustRightInd/>
              <w:spacing w:after="0"/>
              <w:rPr>
                <w:rFonts w:eastAsia="Times New Roman" w:cs="Arial"/>
                <w:b/>
                <w:bCs/>
                <w:sz w:val="20"/>
                <w:szCs w:val="20"/>
                <w:lang w:eastAsia="en-GB"/>
              </w:rPr>
            </w:pPr>
            <w:r w:rsidRPr="00EB42C6">
              <w:rPr>
                <w:rFonts w:eastAsia="Times New Roman" w:cs="Arial"/>
                <w:b/>
                <w:bCs/>
                <w:sz w:val="20"/>
                <w:szCs w:val="20"/>
                <w:lang w:eastAsia="en-GB"/>
              </w:rPr>
              <w:t> </w:t>
            </w:r>
          </w:p>
        </w:tc>
        <w:tc>
          <w:tcPr>
            <w:tcW w:w="3986" w:type="dxa"/>
            <w:tcBorders>
              <w:top w:val="nil"/>
              <w:left w:val="nil"/>
              <w:bottom w:val="single" w:sz="4" w:space="0" w:color="auto"/>
              <w:right w:val="single" w:sz="4" w:space="0" w:color="auto"/>
            </w:tcBorders>
            <w:shd w:val="clear" w:color="000000" w:fill="D9D9D9"/>
            <w:noWrap/>
            <w:vAlign w:val="center"/>
            <w:hideMark/>
          </w:tcPr>
          <w:p w14:paraId="5E1F1EB9" w14:textId="77777777" w:rsidR="00431B9C" w:rsidRPr="00EB42C6" w:rsidRDefault="00431B9C" w:rsidP="0049320F">
            <w:pPr>
              <w:autoSpaceDE/>
              <w:autoSpaceDN/>
              <w:adjustRightInd/>
              <w:spacing w:after="0"/>
              <w:rPr>
                <w:rFonts w:eastAsia="Times New Roman" w:cs="Arial"/>
                <w:b/>
                <w:bCs/>
                <w:sz w:val="20"/>
                <w:szCs w:val="20"/>
                <w:lang w:eastAsia="en-GB"/>
              </w:rPr>
            </w:pPr>
            <w:r>
              <w:rPr>
                <w:rFonts w:cs="Arial"/>
                <w:b/>
                <w:bCs/>
                <w:sz w:val="20"/>
                <w:szCs w:val="20"/>
              </w:rPr>
              <w:t>TOTAL - COMMUNITY SERVICES</w:t>
            </w:r>
          </w:p>
        </w:tc>
        <w:tc>
          <w:tcPr>
            <w:tcW w:w="1459" w:type="dxa"/>
            <w:tcBorders>
              <w:top w:val="nil"/>
              <w:left w:val="nil"/>
              <w:bottom w:val="single" w:sz="4" w:space="0" w:color="auto"/>
              <w:right w:val="single" w:sz="4" w:space="0" w:color="auto"/>
            </w:tcBorders>
            <w:shd w:val="clear" w:color="000000" w:fill="D9D9D9"/>
            <w:vAlign w:val="center"/>
            <w:hideMark/>
          </w:tcPr>
          <w:p w14:paraId="6AEA8422" w14:textId="77777777" w:rsidR="00431B9C" w:rsidRPr="00EB42C6" w:rsidRDefault="00431B9C" w:rsidP="0049320F">
            <w:pPr>
              <w:autoSpaceDE/>
              <w:autoSpaceDN/>
              <w:adjustRightInd/>
              <w:spacing w:after="0"/>
              <w:rPr>
                <w:rFonts w:eastAsia="Times New Roman" w:cs="Arial"/>
                <w:b/>
                <w:bCs/>
                <w:sz w:val="20"/>
                <w:szCs w:val="20"/>
                <w:lang w:eastAsia="en-GB"/>
              </w:rPr>
            </w:pPr>
            <w:r>
              <w:rPr>
                <w:rFonts w:cs="Arial"/>
                <w:b/>
                <w:bCs/>
                <w:sz w:val="20"/>
                <w:szCs w:val="20"/>
              </w:rPr>
              <w:t xml:space="preserve">134.610 </w:t>
            </w:r>
          </w:p>
        </w:tc>
        <w:tc>
          <w:tcPr>
            <w:tcW w:w="1459" w:type="dxa"/>
            <w:tcBorders>
              <w:top w:val="nil"/>
              <w:left w:val="nil"/>
              <w:bottom w:val="single" w:sz="4" w:space="0" w:color="auto"/>
              <w:right w:val="single" w:sz="4" w:space="0" w:color="auto"/>
            </w:tcBorders>
            <w:shd w:val="clear" w:color="000000" w:fill="D9D9D9"/>
            <w:vAlign w:val="center"/>
            <w:hideMark/>
          </w:tcPr>
          <w:p w14:paraId="41DBFFE4" w14:textId="77777777" w:rsidR="00431B9C" w:rsidRPr="00EB42C6" w:rsidRDefault="00431B9C" w:rsidP="0049320F">
            <w:pPr>
              <w:autoSpaceDE/>
              <w:autoSpaceDN/>
              <w:adjustRightInd/>
              <w:spacing w:after="0"/>
              <w:rPr>
                <w:rFonts w:eastAsia="Times New Roman" w:cs="Arial"/>
                <w:b/>
                <w:bCs/>
                <w:sz w:val="20"/>
                <w:szCs w:val="20"/>
                <w:lang w:eastAsia="en-GB"/>
              </w:rPr>
            </w:pPr>
            <w:r>
              <w:rPr>
                <w:rFonts w:cs="Arial"/>
                <w:b/>
                <w:bCs/>
                <w:sz w:val="20"/>
                <w:szCs w:val="20"/>
              </w:rPr>
              <w:t xml:space="preserve">136.892 </w:t>
            </w:r>
          </w:p>
        </w:tc>
        <w:tc>
          <w:tcPr>
            <w:tcW w:w="1459" w:type="dxa"/>
            <w:tcBorders>
              <w:top w:val="nil"/>
              <w:left w:val="nil"/>
              <w:bottom w:val="single" w:sz="4" w:space="0" w:color="auto"/>
              <w:right w:val="single" w:sz="4" w:space="0" w:color="auto"/>
            </w:tcBorders>
            <w:shd w:val="clear" w:color="000000" w:fill="D9D9D9"/>
            <w:vAlign w:val="center"/>
            <w:hideMark/>
          </w:tcPr>
          <w:p w14:paraId="2FF4AB44" w14:textId="77777777" w:rsidR="00431B9C" w:rsidRPr="00EB42C6" w:rsidRDefault="00431B9C" w:rsidP="0049320F">
            <w:pPr>
              <w:autoSpaceDE/>
              <w:autoSpaceDN/>
              <w:adjustRightInd/>
              <w:spacing w:after="0"/>
              <w:rPr>
                <w:rFonts w:eastAsia="Times New Roman" w:cs="Arial"/>
                <w:b/>
                <w:bCs/>
                <w:sz w:val="20"/>
                <w:szCs w:val="20"/>
                <w:lang w:eastAsia="en-GB"/>
              </w:rPr>
            </w:pPr>
            <w:r>
              <w:rPr>
                <w:rFonts w:cs="Arial"/>
                <w:b/>
                <w:bCs/>
                <w:sz w:val="20"/>
                <w:szCs w:val="20"/>
              </w:rPr>
              <w:t xml:space="preserve">2.282 </w:t>
            </w:r>
          </w:p>
        </w:tc>
      </w:tr>
    </w:tbl>
    <w:p w14:paraId="397E4BE3" w14:textId="77777777" w:rsidR="00431B9C" w:rsidRDefault="00431B9C" w:rsidP="0049320F">
      <w:pPr>
        <w:tabs>
          <w:tab w:val="left" w:pos="851"/>
          <w:tab w:val="left" w:pos="1418"/>
        </w:tabs>
        <w:spacing w:after="0"/>
        <w:contextualSpacing/>
        <w:rPr>
          <w:rFonts w:cs="Arial"/>
        </w:rPr>
      </w:pPr>
    </w:p>
    <w:p w14:paraId="3D3223AC" w14:textId="03B0F36F" w:rsidR="00431B9C" w:rsidRPr="002E0355" w:rsidRDefault="00431B9C" w:rsidP="0049320F">
      <w:pPr>
        <w:tabs>
          <w:tab w:val="left" w:pos="851"/>
          <w:tab w:val="left" w:pos="1418"/>
        </w:tabs>
        <w:spacing w:after="0"/>
        <w:contextualSpacing/>
        <w:rPr>
          <w:rFonts w:cs="Arial"/>
        </w:rPr>
      </w:pPr>
      <w:r w:rsidRPr="002E0355">
        <w:rPr>
          <w:rFonts w:cs="Arial"/>
        </w:rPr>
        <w:t xml:space="preserve">The </w:t>
      </w:r>
      <w:r>
        <w:rPr>
          <w:rFonts w:cs="Arial"/>
        </w:rPr>
        <w:t>total net approved budget for Community Services in 2016/17 is £134.610m.  As at the end of quarter 1, the service</w:t>
      </w:r>
      <w:r w:rsidR="00544EB8">
        <w:rPr>
          <w:rFonts w:cs="Arial"/>
        </w:rPr>
        <w:t>s are</w:t>
      </w:r>
      <w:r>
        <w:rPr>
          <w:rFonts w:cs="Arial"/>
        </w:rPr>
        <w:t xml:space="preserve"> forecast to overspend </w:t>
      </w:r>
      <w:r w:rsidRPr="0091715F">
        <w:rPr>
          <w:rFonts w:cs="Arial"/>
        </w:rPr>
        <w:t xml:space="preserve">by </w:t>
      </w:r>
      <w:r>
        <w:rPr>
          <w:rFonts w:cs="Arial"/>
        </w:rPr>
        <w:t>£2.282m</w:t>
      </w:r>
      <w:r w:rsidRPr="002E0355">
        <w:rPr>
          <w:rFonts w:cs="Arial"/>
        </w:rPr>
        <w:t>.</w:t>
      </w:r>
    </w:p>
    <w:p w14:paraId="153E9544" w14:textId="77777777" w:rsidR="00431B9C" w:rsidRDefault="00431B9C" w:rsidP="0049320F">
      <w:pPr>
        <w:tabs>
          <w:tab w:val="left" w:pos="851"/>
          <w:tab w:val="left" w:pos="1418"/>
        </w:tabs>
        <w:spacing w:after="0"/>
        <w:rPr>
          <w:rFonts w:eastAsia="Times New Roman" w:cs="Arial"/>
          <w:lang w:eastAsia="en-GB"/>
        </w:rPr>
      </w:pPr>
    </w:p>
    <w:p w14:paraId="1CF111FE" w14:textId="79AA83CB" w:rsidR="00431B9C" w:rsidRDefault="00431B9C" w:rsidP="0049320F">
      <w:pPr>
        <w:tabs>
          <w:tab w:val="left" w:pos="851"/>
          <w:tab w:val="left" w:pos="1418"/>
        </w:tabs>
        <w:spacing w:after="0"/>
        <w:rPr>
          <w:rFonts w:eastAsia="Times New Roman" w:cs="Arial"/>
          <w:b/>
          <w:lang w:eastAsia="en-GB"/>
        </w:rPr>
      </w:pPr>
      <w:r w:rsidRPr="002E0355">
        <w:rPr>
          <w:rFonts w:eastAsia="Times New Roman" w:cs="Arial"/>
          <w:b/>
          <w:lang w:eastAsia="en-GB"/>
        </w:rPr>
        <w:t>3.</w:t>
      </w:r>
      <w:r w:rsidR="00622590">
        <w:rPr>
          <w:rFonts w:eastAsia="Times New Roman" w:cs="Arial"/>
          <w:b/>
          <w:lang w:eastAsia="en-GB"/>
        </w:rPr>
        <w:t>3</w:t>
      </w:r>
      <w:r w:rsidRPr="002E0355">
        <w:rPr>
          <w:rFonts w:eastAsia="Times New Roman" w:cs="Arial"/>
          <w:b/>
          <w:lang w:eastAsia="en-GB"/>
        </w:rPr>
        <w:t>.2</w:t>
      </w:r>
      <w:r w:rsidRPr="002E0355">
        <w:rPr>
          <w:rFonts w:eastAsia="Times New Roman" w:cs="Arial"/>
          <w:b/>
          <w:lang w:eastAsia="en-GB"/>
        </w:rPr>
        <w:tab/>
        <w:t>Customer Access</w:t>
      </w:r>
    </w:p>
    <w:p w14:paraId="674C1144" w14:textId="77777777" w:rsidR="00431B9C" w:rsidRPr="00A84856" w:rsidRDefault="00431B9C" w:rsidP="0049320F">
      <w:pPr>
        <w:tabs>
          <w:tab w:val="left" w:pos="851"/>
          <w:tab w:val="left" w:pos="1418"/>
        </w:tabs>
        <w:spacing w:after="0"/>
        <w:rPr>
          <w:rFonts w:eastAsia="Times New Roman" w:cs="Arial"/>
          <w:lang w:eastAsia="en-GB"/>
        </w:rPr>
      </w:pPr>
    </w:p>
    <w:p w14:paraId="6C3F4F4B" w14:textId="608FA09F" w:rsidR="00431B9C" w:rsidRDefault="00431B9C" w:rsidP="0049320F">
      <w:pPr>
        <w:tabs>
          <w:tab w:val="left" w:pos="851"/>
          <w:tab w:val="left" w:pos="1418"/>
        </w:tabs>
        <w:spacing w:after="0"/>
        <w:rPr>
          <w:rFonts w:eastAsia="Times New Roman" w:cs="Arial"/>
          <w:lang w:eastAsia="en-GB"/>
        </w:rPr>
      </w:pPr>
      <w:r w:rsidRPr="00A84856">
        <w:rPr>
          <w:rFonts w:eastAsia="Times New Roman" w:cs="Arial"/>
          <w:lang w:eastAsia="en-GB"/>
        </w:rPr>
        <w:t xml:space="preserve">Customer Access is forecast to underspend by £0.135m in 2016/17.  Forecast </w:t>
      </w:r>
      <w:r w:rsidRPr="00845D4F">
        <w:rPr>
          <w:rFonts w:eastAsia="Times New Roman" w:cs="Arial"/>
          <w:lang w:eastAsia="en-GB"/>
        </w:rPr>
        <w:t>underspends relate to staff costs and vacancies.  Delays in recruiting to vacant posts could lead to further underspends and these will be kept under review over the coming months.</w:t>
      </w:r>
      <w:r w:rsidR="00313BCD" w:rsidRPr="00845D4F">
        <w:rPr>
          <w:rFonts w:eastAsia="Times New Roman" w:cs="Arial"/>
          <w:lang w:eastAsia="en-GB"/>
        </w:rPr>
        <w:t xml:space="preserve"> This position also reflects the achievement of a saving of £234k for 2016/17.</w:t>
      </w:r>
      <w:r w:rsidR="00313BCD">
        <w:rPr>
          <w:rFonts w:eastAsia="Times New Roman" w:cs="Arial"/>
          <w:lang w:eastAsia="en-GB"/>
        </w:rPr>
        <w:t xml:space="preserve"> </w:t>
      </w:r>
    </w:p>
    <w:p w14:paraId="5E623722" w14:textId="77777777" w:rsidR="00723834" w:rsidRDefault="00723834" w:rsidP="0049320F">
      <w:pPr>
        <w:tabs>
          <w:tab w:val="left" w:pos="851"/>
          <w:tab w:val="left" w:pos="1418"/>
        </w:tabs>
        <w:spacing w:after="0"/>
        <w:rPr>
          <w:rFonts w:eastAsia="Times New Roman" w:cs="Arial"/>
          <w:lang w:eastAsia="en-GB"/>
        </w:rPr>
      </w:pPr>
    </w:p>
    <w:p w14:paraId="36139E3C" w14:textId="77777777" w:rsidR="00431B9C" w:rsidRPr="00A84856" w:rsidRDefault="00431B9C" w:rsidP="0049320F">
      <w:pPr>
        <w:tabs>
          <w:tab w:val="left" w:pos="851"/>
          <w:tab w:val="left" w:pos="1418"/>
        </w:tabs>
        <w:spacing w:after="0"/>
        <w:rPr>
          <w:rFonts w:eastAsia="Times New Roman" w:cs="Arial"/>
          <w:lang w:eastAsia="en-GB"/>
        </w:rPr>
      </w:pPr>
    </w:p>
    <w:p w14:paraId="29AA2D27" w14:textId="6B6E2CA4" w:rsidR="00431B9C" w:rsidRPr="00884402" w:rsidRDefault="00622590" w:rsidP="0049320F">
      <w:pPr>
        <w:tabs>
          <w:tab w:val="left" w:pos="851"/>
          <w:tab w:val="left" w:pos="1418"/>
        </w:tabs>
        <w:spacing w:after="0"/>
        <w:rPr>
          <w:rFonts w:eastAsia="Times New Roman" w:cs="Arial"/>
          <w:b/>
          <w:lang w:eastAsia="en-GB"/>
        </w:rPr>
      </w:pPr>
      <w:r>
        <w:rPr>
          <w:rFonts w:eastAsia="Times New Roman" w:cs="Arial"/>
          <w:b/>
          <w:lang w:eastAsia="en-GB"/>
        </w:rPr>
        <w:t>3.3</w:t>
      </w:r>
      <w:r w:rsidR="00431B9C">
        <w:rPr>
          <w:rFonts w:eastAsia="Times New Roman" w:cs="Arial"/>
          <w:b/>
          <w:lang w:eastAsia="en-GB"/>
        </w:rPr>
        <w:t>.4</w:t>
      </w:r>
      <w:r w:rsidR="00431B9C">
        <w:rPr>
          <w:rFonts w:eastAsia="Times New Roman" w:cs="Arial"/>
          <w:b/>
          <w:lang w:eastAsia="en-GB"/>
        </w:rPr>
        <w:tab/>
      </w:r>
      <w:r w:rsidR="00431B9C" w:rsidRPr="00884402">
        <w:rPr>
          <w:rFonts w:eastAsia="Times New Roman" w:cs="Arial"/>
          <w:b/>
          <w:lang w:eastAsia="en-GB"/>
        </w:rPr>
        <w:t>Highways</w:t>
      </w:r>
    </w:p>
    <w:p w14:paraId="00930458" w14:textId="77777777" w:rsidR="00431B9C" w:rsidRPr="003A26F1" w:rsidRDefault="00431B9C" w:rsidP="0049320F">
      <w:pPr>
        <w:adjustRightInd/>
        <w:spacing w:after="0"/>
        <w:rPr>
          <w:rFonts w:ascii="Calibri" w:eastAsiaTheme="minorHAnsi" w:hAnsi="Calibri" w:cs="Arial"/>
          <w:lang w:eastAsia="en-GB"/>
        </w:rPr>
      </w:pPr>
    </w:p>
    <w:p w14:paraId="231A48E9" w14:textId="77777777" w:rsidR="00431B9C" w:rsidRPr="00161FFE" w:rsidRDefault="00431B9C" w:rsidP="0049320F">
      <w:pPr>
        <w:tabs>
          <w:tab w:val="left" w:pos="851"/>
          <w:tab w:val="left" w:pos="1418"/>
        </w:tabs>
        <w:spacing w:after="0"/>
        <w:rPr>
          <w:rFonts w:cs="Arial"/>
        </w:rPr>
      </w:pPr>
      <w:r w:rsidRPr="00161FFE">
        <w:rPr>
          <w:rFonts w:cs="Arial"/>
        </w:rPr>
        <w:t>The service is forecast to underspend by £0.291m</w:t>
      </w:r>
    </w:p>
    <w:p w14:paraId="0567ACD3" w14:textId="77777777" w:rsidR="005951A6" w:rsidRPr="00161FFE" w:rsidRDefault="005951A6" w:rsidP="0049320F">
      <w:pPr>
        <w:tabs>
          <w:tab w:val="left" w:pos="851"/>
          <w:tab w:val="left" w:pos="1418"/>
        </w:tabs>
        <w:spacing w:after="0"/>
        <w:rPr>
          <w:rFonts w:cs="Arial"/>
        </w:rPr>
      </w:pPr>
    </w:p>
    <w:p w14:paraId="426BDB2D" w14:textId="24534E9E" w:rsidR="00431B9C" w:rsidRPr="00161FFE" w:rsidRDefault="00431B9C" w:rsidP="0049320F">
      <w:pPr>
        <w:pStyle w:val="ListParagraph"/>
        <w:numPr>
          <w:ilvl w:val="0"/>
          <w:numId w:val="43"/>
        </w:numPr>
        <w:tabs>
          <w:tab w:val="left" w:pos="851"/>
          <w:tab w:val="left" w:pos="1418"/>
        </w:tabs>
        <w:spacing w:after="0"/>
        <w:rPr>
          <w:rFonts w:cs="Arial"/>
        </w:rPr>
      </w:pPr>
      <w:r w:rsidRPr="00161FFE">
        <w:rPr>
          <w:rFonts w:cs="Arial"/>
        </w:rPr>
        <w:t xml:space="preserve">This is due to additional income forecast across highways on the permit scheme, section 38 income and through the charges to utilities companies for breaching codes of practice, delays in work and road closures.  Additional income was seen in the 15/16 outturn position and as a result part of the savings strategy was to increase these income targets in the 2016/17 budget however these targets </w:t>
      </w:r>
      <w:r w:rsidR="005951A6" w:rsidRPr="00161FFE">
        <w:rPr>
          <w:rFonts w:cs="Arial"/>
        </w:rPr>
        <w:t>are likely to</w:t>
      </w:r>
      <w:r w:rsidRPr="00161FFE">
        <w:rPr>
          <w:rFonts w:cs="Arial"/>
        </w:rPr>
        <w:t xml:space="preserve"> be exceeded during the course of the year.</w:t>
      </w:r>
    </w:p>
    <w:p w14:paraId="3EC42C18" w14:textId="786D1DA6" w:rsidR="00431B9C" w:rsidRPr="00161FFE" w:rsidRDefault="00431B9C" w:rsidP="0049320F">
      <w:pPr>
        <w:pStyle w:val="ListParagraph"/>
        <w:numPr>
          <w:ilvl w:val="0"/>
          <w:numId w:val="43"/>
        </w:numPr>
        <w:tabs>
          <w:tab w:val="left" w:pos="851"/>
          <w:tab w:val="left" w:pos="1418"/>
        </w:tabs>
        <w:spacing w:after="0"/>
        <w:rPr>
          <w:rFonts w:cs="Arial"/>
        </w:rPr>
      </w:pPr>
      <w:r w:rsidRPr="00161FFE">
        <w:rPr>
          <w:rFonts w:cs="Arial"/>
        </w:rPr>
        <w:t>The servi</w:t>
      </w:r>
      <w:r w:rsidR="00313BCD" w:rsidRPr="00161FFE">
        <w:rPr>
          <w:rFonts w:cs="Arial"/>
        </w:rPr>
        <w:t>ce have a savings target of £3.210</w:t>
      </w:r>
      <w:r w:rsidRPr="00161FFE">
        <w:rPr>
          <w:rFonts w:cs="Arial"/>
        </w:rPr>
        <w:t xml:space="preserve">m which is on track to be delivered in year and therefore the approved drawn down </w:t>
      </w:r>
      <w:r w:rsidR="00313BCD" w:rsidRPr="00161FFE">
        <w:rPr>
          <w:rFonts w:cs="Arial"/>
        </w:rPr>
        <w:t xml:space="preserve">of £1.404m </w:t>
      </w:r>
      <w:r w:rsidRPr="00161FFE">
        <w:rPr>
          <w:rFonts w:cs="Arial"/>
        </w:rPr>
        <w:t>from the transition reserve is not required.</w:t>
      </w:r>
    </w:p>
    <w:p w14:paraId="376F7BDC" w14:textId="67E64F5B" w:rsidR="00723834" w:rsidRPr="00161FFE" w:rsidRDefault="00431B9C" w:rsidP="0049320F">
      <w:pPr>
        <w:pStyle w:val="ListParagraph"/>
        <w:numPr>
          <w:ilvl w:val="0"/>
          <w:numId w:val="43"/>
        </w:numPr>
        <w:tabs>
          <w:tab w:val="left" w:pos="851"/>
          <w:tab w:val="left" w:pos="1418"/>
        </w:tabs>
        <w:spacing w:after="0"/>
        <w:rPr>
          <w:rFonts w:cs="Arial"/>
        </w:rPr>
      </w:pPr>
      <w:r w:rsidRPr="00161FFE">
        <w:rPr>
          <w:rFonts w:cs="Arial"/>
        </w:rPr>
        <w:t>The service is forecast to spend the agreed highways maintenance and drainage budget within year.</w:t>
      </w:r>
    </w:p>
    <w:p w14:paraId="719F8E3F" w14:textId="77777777" w:rsidR="00474349" w:rsidRPr="00161FFE" w:rsidRDefault="00474349" w:rsidP="0049320F">
      <w:pPr>
        <w:tabs>
          <w:tab w:val="left" w:pos="851"/>
          <w:tab w:val="left" w:pos="1418"/>
        </w:tabs>
        <w:spacing w:after="0"/>
        <w:rPr>
          <w:rFonts w:cs="Arial"/>
        </w:rPr>
      </w:pPr>
    </w:p>
    <w:p w14:paraId="0345A10C" w14:textId="7CD69A2C" w:rsidR="00474349" w:rsidRPr="00161FFE" w:rsidRDefault="00474349" w:rsidP="0049320F">
      <w:pPr>
        <w:rPr>
          <w:rFonts w:eastAsiaTheme="minorHAnsi" w:cs="Arial"/>
          <w:color w:val="auto"/>
        </w:rPr>
      </w:pPr>
      <w:r w:rsidRPr="00161FFE">
        <w:rPr>
          <w:rFonts w:cs="Arial"/>
        </w:rPr>
        <w:t xml:space="preserve">The forecast includes the planned contribution of non-recurrent funding of £0.100m from the roundabout sponsorship service, this is additional income generated above the budgeted revenue target, these monies are planned to </w:t>
      </w:r>
      <w:proofErr w:type="gramStart"/>
      <w:r w:rsidRPr="00161FFE">
        <w:rPr>
          <w:rFonts w:cs="Arial"/>
        </w:rPr>
        <w:t>reinvested</w:t>
      </w:r>
      <w:proofErr w:type="gramEnd"/>
      <w:r w:rsidRPr="00161FFE">
        <w:rPr>
          <w:rFonts w:cs="Arial"/>
        </w:rPr>
        <w:t xml:space="preserve"> in 2017/18 on public realm activity in the district that has generated the funds as has previously been the case.</w:t>
      </w:r>
    </w:p>
    <w:p w14:paraId="529B4956" w14:textId="77777777" w:rsidR="00431B9C" w:rsidRPr="00161FFE" w:rsidRDefault="00431B9C" w:rsidP="0049320F">
      <w:pPr>
        <w:autoSpaceDE/>
        <w:autoSpaceDN/>
        <w:adjustRightInd/>
        <w:spacing w:after="0"/>
        <w:rPr>
          <w:rFonts w:eastAsia="Times New Roman" w:cs="Arial"/>
          <w:b/>
          <w:lang w:eastAsia="en-GB"/>
        </w:rPr>
      </w:pPr>
    </w:p>
    <w:p w14:paraId="4FE5962D" w14:textId="77777777" w:rsidR="00474349" w:rsidRPr="00161FFE" w:rsidRDefault="00474349" w:rsidP="0049320F">
      <w:pPr>
        <w:autoSpaceDE/>
        <w:autoSpaceDN/>
        <w:adjustRightInd/>
        <w:spacing w:after="0"/>
        <w:rPr>
          <w:rFonts w:eastAsia="Times New Roman" w:cs="Arial"/>
          <w:b/>
          <w:lang w:eastAsia="en-GB"/>
        </w:rPr>
      </w:pPr>
    </w:p>
    <w:p w14:paraId="2A5939C4" w14:textId="0C86611A" w:rsidR="00431B9C" w:rsidRPr="00161FFE" w:rsidRDefault="00622590" w:rsidP="0049320F">
      <w:pPr>
        <w:tabs>
          <w:tab w:val="left" w:pos="851"/>
          <w:tab w:val="left" w:pos="1418"/>
        </w:tabs>
        <w:spacing w:after="0"/>
        <w:rPr>
          <w:rFonts w:eastAsia="Times New Roman" w:cs="Arial"/>
          <w:b/>
          <w:lang w:eastAsia="en-GB"/>
        </w:rPr>
      </w:pPr>
      <w:r w:rsidRPr="00161FFE">
        <w:rPr>
          <w:rFonts w:eastAsia="Times New Roman" w:cs="Arial"/>
          <w:b/>
          <w:lang w:eastAsia="en-GB"/>
        </w:rPr>
        <w:t>3.3</w:t>
      </w:r>
      <w:r w:rsidR="00431B9C" w:rsidRPr="00161FFE">
        <w:rPr>
          <w:rFonts w:eastAsia="Times New Roman" w:cs="Arial"/>
          <w:b/>
          <w:lang w:eastAsia="en-GB"/>
        </w:rPr>
        <w:t>.5</w:t>
      </w:r>
      <w:r w:rsidR="00431B9C" w:rsidRPr="00161FFE">
        <w:rPr>
          <w:rFonts w:eastAsia="Times New Roman" w:cs="Arial"/>
          <w:b/>
          <w:lang w:eastAsia="en-GB"/>
        </w:rPr>
        <w:tab/>
        <w:t>Libraries, Museums, Culture and Registrars</w:t>
      </w:r>
    </w:p>
    <w:p w14:paraId="61D6067F" w14:textId="77777777" w:rsidR="00431B9C" w:rsidRPr="00161FFE" w:rsidRDefault="00431B9C" w:rsidP="0049320F">
      <w:pPr>
        <w:spacing w:after="0"/>
        <w:contextualSpacing/>
        <w:rPr>
          <w:rFonts w:cs="Arial"/>
        </w:rPr>
      </w:pPr>
    </w:p>
    <w:p w14:paraId="6AC42780" w14:textId="097F5417" w:rsidR="00431B9C" w:rsidRPr="00161FFE" w:rsidRDefault="00431B9C" w:rsidP="0049320F">
      <w:pPr>
        <w:tabs>
          <w:tab w:val="left" w:pos="851"/>
          <w:tab w:val="left" w:pos="1418"/>
        </w:tabs>
        <w:spacing w:after="0"/>
        <w:rPr>
          <w:rFonts w:cs="Arial"/>
        </w:rPr>
      </w:pPr>
      <w:r w:rsidRPr="00161FFE">
        <w:rPr>
          <w:rFonts w:cs="Arial"/>
        </w:rPr>
        <w:t xml:space="preserve">Libraries, Museums, Cultural Services and Registrars is forecast to overspend by £0.377m in 2016/17.  </w:t>
      </w:r>
      <w:r w:rsidR="00313BCD" w:rsidRPr="00161FFE">
        <w:rPr>
          <w:rFonts w:cs="Arial"/>
        </w:rPr>
        <w:t xml:space="preserve">                               </w:t>
      </w:r>
    </w:p>
    <w:p w14:paraId="022C52E3" w14:textId="77777777" w:rsidR="00431B9C" w:rsidRPr="00161FFE" w:rsidRDefault="00431B9C" w:rsidP="0049320F">
      <w:pPr>
        <w:tabs>
          <w:tab w:val="left" w:pos="851"/>
          <w:tab w:val="left" w:pos="1418"/>
        </w:tabs>
        <w:spacing w:after="0"/>
        <w:rPr>
          <w:rFonts w:cs="Arial"/>
        </w:rPr>
      </w:pPr>
    </w:p>
    <w:p w14:paraId="79748BD4" w14:textId="17CFDF48" w:rsidR="00431B9C" w:rsidRPr="00161FFE" w:rsidRDefault="00431B9C" w:rsidP="0049320F">
      <w:pPr>
        <w:pStyle w:val="ListParagraph"/>
        <w:numPr>
          <w:ilvl w:val="0"/>
          <w:numId w:val="30"/>
        </w:numPr>
        <w:autoSpaceDE/>
        <w:autoSpaceDN/>
        <w:adjustRightInd/>
        <w:spacing w:after="0"/>
        <w:rPr>
          <w:rFonts w:cs="Arial"/>
        </w:rPr>
      </w:pPr>
      <w:r w:rsidRPr="00161FFE">
        <w:rPr>
          <w:rFonts w:cs="Arial"/>
        </w:rPr>
        <w:t>Cultural Services Museums is forecast to overspend by £0.326m</w:t>
      </w:r>
      <w:r w:rsidR="00544EB8" w:rsidRPr="00161FFE">
        <w:rPr>
          <w:rFonts w:cs="Arial"/>
        </w:rPr>
        <w:t xml:space="preserve"> primarily resulting from delayed delivery of agreed savings</w:t>
      </w:r>
      <w:r w:rsidR="0047008B" w:rsidRPr="00161FFE">
        <w:rPr>
          <w:rFonts w:cs="Arial"/>
        </w:rPr>
        <w:t>.</w:t>
      </w:r>
      <w:r w:rsidRPr="00161FFE">
        <w:rPr>
          <w:rFonts w:cs="Arial"/>
        </w:rPr>
        <w:t xml:space="preserve">  It is forecast that it will cost £0.462m to operate Museums in 2016/17 which reflects the fact that it is anticipated that the County Council will still have to meet some full year costs for those Museums which are due to close and the requirement to retain Collections staff to assist with the closure of museums and relocation of collections beyond October 2016.  Following the closure of 5 museums it expected that the remaining museums will be self-financing, including covering costs associated with collections, with the exception of Gawthorpe Hall for which there is a recurring annual budget to cove</w:t>
      </w:r>
      <w:r w:rsidR="00544EB8" w:rsidRPr="00161FFE">
        <w:rPr>
          <w:rFonts w:cs="Arial"/>
        </w:rPr>
        <w:t xml:space="preserve">r running costs. </w:t>
      </w:r>
    </w:p>
    <w:p w14:paraId="07253B28" w14:textId="30879AC9" w:rsidR="00431B9C" w:rsidRPr="00161FFE" w:rsidRDefault="00431B9C" w:rsidP="0049320F">
      <w:pPr>
        <w:pStyle w:val="ListParagraph"/>
        <w:numPr>
          <w:ilvl w:val="0"/>
          <w:numId w:val="30"/>
        </w:numPr>
        <w:autoSpaceDE/>
        <w:autoSpaceDN/>
        <w:adjustRightInd/>
        <w:spacing w:after="0"/>
        <w:rPr>
          <w:rFonts w:cs="Arial"/>
        </w:rPr>
      </w:pPr>
      <w:r w:rsidRPr="00161FFE">
        <w:rPr>
          <w:rFonts w:cs="Arial"/>
        </w:rPr>
        <w:t>County Libraries is forecast to overspend by £0.2</w:t>
      </w:r>
      <w:r w:rsidR="00544EB8" w:rsidRPr="00161FFE">
        <w:rPr>
          <w:rFonts w:cs="Arial"/>
        </w:rPr>
        <w:t>99m which largely relates to under</w:t>
      </w:r>
      <w:r w:rsidR="00CB3546" w:rsidRPr="00161FFE">
        <w:rPr>
          <w:rFonts w:cs="Arial"/>
        </w:rPr>
        <w:t xml:space="preserve"> </w:t>
      </w:r>
      <w:r w:rsidRPr="00161FFE">
        <w:rPr>
          <w:rFonts w:cs="Arial"/>
        </w:rPr>
        <w:t xml:space="preserve">delivery of </w:t>
      </w:r>
      <w:r w:rsidR="00CB3546" w:rsidRPr="00161FFE">
        <w:rPr>
          <w:rFonts w:cs="Arial"/>
        </w:rPr>
        <w:t xml:space="preserve">previously agreed </w:t>
      </w:r>
      <w:r w:rsidRPr="00161FFE">
        <w:rPr>
          <w:rFonts w:cs="Arial"/>
        </w:rPr>
        <w:t>savings</w:t>
      </w:r>
      <w:r w:rsidR="00CB3546" w:rsidRPr="00161FFE">
        <w:rPr>
          <w:rFonts w:cs="Arial"/>
        </w:rPr>
        <w:t>.</w:t>
      </w:r>
      <w:r w:rsidRPr="00161FFE">
        <w:rPr>
          <w:rFonts w:cs="Arial"/>
        </w:rPr>
        <w:t xml:space="preserve"> </w:t>
      </w:r>
    </w:p>
    <w:p w14:paraId="3A5B30BE" w14:textId="77777777" w:rsidR="00431B9C" w:rsidRPr="00161FFE" w:rsidRDefault="00431B9C" w:rsidP="0049320F">
      <w:pPr>
        <w:pStyle w:val="ListParagraph"/>
        <w:numPr>
          <w:ilvl w:val="0"/>
          <w:numId w:val="30"/>
        </w:numPr>
        <w:autoSpaceDE/>
        <w:autoSpaceDN/>
        <w:adjustRightInd/>
        <w:spacing w:after="0"/>
        <w:rPr>
          <w:rFonts w:cs="Arial"/>
        </w:rPr>
      </w:pPr>
      <w:r w:rsidRPr="00161FFE">
        <w:rPr>
          <w:rFonts w:cs="Arial"/>
        </w:rPr>
        <w:t>Underspends of £0.248m relate to the remainder of the service which includes Cultural Services Archives, Conservation, Heritage and Arts, Museum School Service and Support and Development, and Registration Service.  Of this, underspends of £0.149m relate to staff costs and £0.125m to non-staff costs, offset by under-recovery of income of £0.025m.</w:t>
      </w:r>
    </w:p>
    <w:p w14:paraId="5769C03D" w14:textId="77777777" w:rsidR="00431B9C" w:rsidRPr="00161FFE" w:rsidRDefault="00431B9C" w:rsidP="0049320F">
      <w:pPr>
        <w:tabs>
          <w:tab w:val="left" w:pos="851"/>
          <w:tab w:val="left" w:pos="1418"/>
        </w:tabs>
        <w:spacing w:after="0"/>
        <w:rPr>
          <w:rFonts w:cs="Arial"/>
        </w:rPr>
      </w:pPr>
    </w:p>
    <w:p w14:paraId="0F00CE7D" w14:textId="7BF4AFB9" w:rsidR="00431B9C" w:rsidRPr="00161FFE" w:rsidRDefault="00CA4F70" w:rsidP="0049320F">
      <w:pPr>
        <w:tabs>
          <w:tab w:val="left" w:pos="851"/>
          <w:tab w:val="left" w:pos="1418"/>
        </w:tabs>
        <w:spacing w:after="0"/>
        <w:rPr>
          <w:rFonts w:cs="Arial"/>
        </w:rPr>
      </w:pPr>
      <w:r w:rsidRPr="00161FFE">
        <w:rPr>
          <w:rFonts w:cs="Arial"/>
        </w:rPr>
        <w:t xml:space="preserve">The </w:t>
      </w:r>
      <w:r w:rsidR="00B931A6" w:rsidRPr="00161FFE">
        <w:rPr>
          <w:rFonts w:cs="Arial"/>
        </w:rPr>
        <w:t>forecast</w:t>
      </w:r>
      <w:r w:rsidRPr="00161FFE">
        <w:rPr>
          <w:rFonts w:cs="Arial"/>
        </w:rPr>
        <w:t xml:space="preserve"> incorporates a range of savings to be achieved that total £5.807m. However following in relation to these savings t</w:t>
      </w:r>
      <w:r w:rsidR="00431B9C" w:rsidRPr="00161FFE">
        <w:rPr>
          <w:rFonts w:cs="Arial"/>
        </w:rPr>
        <w:t>he forecast includes the application of non-recurrent funding of £0.500m from Transitional Reserve to cover the cost of operating 5 museums which are due to close on 30th September 2016, £0.347m from Transitional Reserve to cover the continuation of Arts Grants to outside bodies within the Cultural Services Heritage and Arts Service, £0.140m from the Transitional Reserve to cover staff costs within Cultural Services Support and Development, and £1.608m, also from the Transitional Reserve, to fund transition costs as the County Library Service downsizes.</w:t>
      </w:r>
      <w:r w:rsidR="00D85D88" w:rsidRPr="00161FFE">
        <w:rPr>
          <w:rFonts w:cs="Arial"/>
        </w:rPr>
        <w:t xml:space="preserve"> The forecast also includes £0.020m from the service reserve relating Queen Street's engine repair fund. </w:t>
      </w:r>
    </w:p>
    <w:p w14:paraId="2CFE3B39" w14:textId="77777777" w:rsidR="00431B9C" w:rsidRPr="00161FFE" w:rsidRDefault="00431B9C" w:rsidP="0049320F">
      <w:pPr>
        <w:tabs>
          <w:tab w:val="left" w:pos="851"/>
          <w:tab w:val="left" w:pos="1418"/>
        </w:tabs>
        <w:spacing w:after="0"/>
        <w:rPr>
          <w:rFonts w:eastAsia="Times New Roman" w:cs="Arial"/>
          <w:b/>
          <w:lang w:eastAsia="en-GB"/>
        </w:rPr>
      </w:pPr>
    </w:p>
    <w:p w14:paraId="3032BAD2" w14:textId="4FDE1C4E" w:rsidR="00431B9C" w:rsidRPr="00161FFE" w:rsidRDefault="00622590" w:rsidP="0049320F">
      <w:pPr>
        <w:tabs>
          <w:tab w:val="left" w:pos="851"/>
          <w:tab w:val="left" w:pos="1418"/>
        </w:tabs>
        <w:spacing w:after="0"/>
        <w:rPr>
          <w:rFonts w:eastAsia="Times New Roman" w:cs="Arial"/>
          <w:b/>
          <w:lang w:eastAsia="en-GB"/>
        </w:rPr>
      </w:pPr>
      <w:r w:rsidRPr="00161FFE">
        <w:rPr>
          <w:rFonts w:eastAsia="Times New Roman" w:cs="Arial"/>
          <w:b/>
          <w:lang w:eastAsia="en-GB"/>
        </w:rPr>
        <w:t>3.3</w:t>
      </w:r>
      <w:r w:rsidR="00431B9C" w:rsidRPr="00161FFE">
        <w:rPr>
          <w:rFonts w:eastAsia="Times New Roman" w:cs="Arial"/>
          <w:b/>
          <w:lang w:eastAsia="en-GB"/>
        </w:rPr>
        <w:t>.6</w:t>
      </w:r>
      <w:r w:rsidR="00431B9C" w:rsidRPr="00161FFE">
        <w:rPr>
          <w:rFonts w:eastAsia="Times New Roman" w:cs="Arial"/>
          <w:b/>
          <w:lang w:eastAsia="en-GB"/>
        </w:rPr>
        <w:tab/>
        <w:t>Public &amp; Integrated Transport</w:t>
      </w:r>
    </w:p>
    <w:p w14:paraId="2535DE36" w14:textId="77777777" w:rsidR="00431B9C" w:rsidRPr="00161FFE" w:rsidRDefault="00431B9C" w:rsidP="0049320F">
      <w:pPr>
        <w:tabs>
          <w:tab w:val="left" w:pos="851"/>
          <w:tab w:val="left" w:pos="1418"/>
        </w:tabs>
        <w:spacing w:after="0"/>
        <w:rPr>
          <w:rFonts w:eastAsia="Times New Roman" w:cs="Arial"/>
          <w:b/>
          <w:lang w:eastAsia="en-GB"/>
        </w:rPr>
      </w:pPr>
    </w:p>
    <w:p w14:paraId="1E9A81E1" w14:textId="77777777" w:rsidR="00431B9C" w:rsidRPr="00161FFE" w:rsidRDefault="00431B9C" w:rsidP="0049320F">
      <w:pPr>
        <w:tabs>
          <w:tab w:val="left" w:pos="851"/>
          <w:tab w:val="left" w:pos="1418"/>
        </w:tabs>
        <w:spacing w:after="0"/>
        <w:rPr>
          <w:rFonts w:cs="Arial"/>
        </w:rPr>
      </w:pPr>
      <w:r w:rsidRPr="00161FFE">
        <w:rPr>
          <w:rFonts w:cs="Arial"/>
        </w:rPr>
        <w:t xml:space="preserve">Public and Integrated Transport is forecast to underspend by £0.111m in 2016/17. </w:t>
      </w:r>
    </w:p>
    <w:p w14:paraId="28755A6C" w14:textId="77777777" w:rsidR="00431B9C" w:rsidRPr="00161FFE" w:rsidRDefault="00431B9C" w:rsidP="0049320F">
      <w:pPr>
        <w:tabs>
          <w:tab w:val="left" w:pos="851"/>
          <w:tab w:val="left" w:pos="1418"/>
        </w:tabs>
        <w:spacing w:after="0"/>
        <w:rPr>
          <w:rFonts w:cs="Arial"/>
        </w:rPr>
      </w:pPr>
    </w:p>
    <w:p w14:paraId="391AB83A" w14:textId="77777777" w:rsidR="00431B9C" w:rsidRPr="00161FFE" w:rsidRDefault="00431B9C" w:rsidP="0049320F">
      <w:pPr>
        <w:pStyle w:val="ListParagraph"/>
        <w:numPr>
          <w:ilvl w:val="0"/>
          <w:numId w:val="30"/>
        </w:numPr>
        <w:autoSpaceDE/>
        <w:autoSpaceDN/>
        <w:adjustRightInd/>
        <w:spacing w:after="0"/>
        <w:rPr>
          <w:rFonts w:cs="Arial"/>
        </w:rPr>
      </w:pPr>
      <w:r w:rsidRPr="00161FFE">
        <w:rPr>
          <w:rFonts w:cs="Arial"/>
        </w:rPr>
        <w:t>Public Transport Initiatives is forecast to overspend by £0.932m largely due to lower than originally estimated sales from the Todmorden Curve New Rail Scheme.  Whilst demand levels (passenger numbers) appear to be in line with the ramp up period predictions, revenues are lower than expected due to discounted fares with student rather than commuter full price fares accounting for the bulk of sales.  The forecast is based on current levels of fare revenue and reflects the fact that franchised payments to Northern Rail are largely fixed.</w:t>
      </w:r>
    </w:p>
    <w:p w14:paraId="511A5E7D" w14:textId="77777777" w:rsidR="00431B9C" w:rsidRPr="00161FFE" w:rsidRDefault="00431B9C" w:rsidP="0049320F">
      <w:pPr>
        <w:pStyle w:val="ListParagraph"/>
        <w:numPr>
          <w:ilvl w:val="0"/>
          <w:numId w:val="30"/>
        </w:numPr>
        <w:autoSpaceDE/>
        <w:autoSpaceDN/>
        <w:adjustRightInd/>
        <w:spacing w:after="0"/>
        <w:rPr>
          <w:rFonts w:cs="Arial"/>
        </w:rPr>
      </w:pPr>
      <w:r w:rsidRPr="00161FFE">
        <w:rPr>
          <w:rFonts w:cs="Arial"/>
        </w:rPr>
        <w:t xml:space="preserve">Integrated Transport </w:t>
      </w:r>
      <w:proofErr w:type="spellStart"/>
      <w:r w:rsidRPr="00161FFE">
        <w:rPr>
          <w:rFonts w:cs="Arial"/>
        </w:rPr>
        <w:t>Travelcare</w:t>
      </w:r>
      <w:proofErr w:type="spellEnd"/>
      <w:r w:rsidRPr="00161FFE">
        <w:rPr>
          <w:rFonts w:cs="Arial"/>
        </w:rPr>
        <w:t xml:space="preserve"> is forecast to overspend by £0.489m as a result of partial non-delivery of BOP savings of which £0.389m relates to staff costs and £0.100m relates to non-staff costs.</w:t>
      </w:r>
    </w:p>
    <w:p w14:paraId="7BA7BDF1" w14:textId="6AFBD2F9" w:rsidR="00431B9C" w:rsidRPr="00161FFE" w:rsidRDefault="00431B9C" w:rsidP="0049320F">
      <w:pPr>
        <w:pStyle w:val="ListParagraph"/>
        <w:numPr>
          <w:ilvl w:val="0"/>
          <w:numId w:val="30"/>
        </w:numPr>
        <w:autoSpaceDE/>
        <w:autoSpaceDN/>
        <w:adjustRightInd/>
        <w:spacing w:after="0"/>
        <w:rPr>
          <w:rFonts w:cs="Arial"/>
        </w:rPr>
      </w:pPr>
      <w:r w:rsidRPr="00161FFE">
        <w:rPr>
          <w:rFonts w:cs="Arial"/>
        </w:rPr>
        <w:t xml:space="preserve">Public Transport Concessionary Travel is forecast to underspend by £1.098m, due to changes in eligibility criteria relating to pensionable age (increased from 60 to 65) and a general </w:t>
      </w:r>
      <w:r w:rsidR="00CB3546" w:rsidRPr="00161FFE">
        <w:rPr>
          <w:rFonts w:cs="Arial"/>
        </w:rPr>
        <w:t>reduction</w:t>
      </w:r>
      <w:r w:rsidRPr="00161FFE">
        <w:rPr>
          <w:rFonts w:cs="Arial"/>
        </w:rPr>
        <w:t xml:space="preserve"> in take up.</w:t>
      </w:r>
    </w:p>
    <w:p w14:paraId="6D2ED344" w14:textId="77777777" w:rsidR="00431B9C" w:rsidRPr="00161FFE" w:rsidRDefault="00431B9C" w:rsidP="0049320F">
      <w:pPr>
        <w:pStyle w:val="ListParagraph"/>
        <w:numPr>
          <w:ilvl w:val="0"/>
          <w:numId w:val="30"/>
        </w:numPr>
        <w:autoSpaceDE/>
        <w:autoSpaceDN/>
        <w:adjustRightInd/>
        <w:spacing w:after="0"/>
        <w:rPr>
          <w:rFonts w:cs="Arial"/>
        </w:rPr>
      </w:pPr>
      <w:r w:rsidRPr="00161FFE">
        <w:rPr>
          <w:rFonts w:cs="Arial"/>
        </w:rPr>
        <w:lastRenderedPageBreak/>
        <w:t>Public Transport School Transport is forecast to underspend by £0.282m.  The BOP saving of £0.282m in 2016/17 is not achievable in the way originally planned because denominational transport services cannot cease until September 2017 at the earliest.  However, the impact of this has been off-set by estimated price inflation applied to the 2016/17 budget in the MTFS being higher than actual inflation, lower forecast bus operator costs in real terms than in 2015/16 and a non-recurring year end adjustment in 2015/16.</w:t>
      </w:r>
    </w:p>
    <w:p w14:paraId="386BB657" w14:textId="5FDEF886" w:rsidR="00431B9C" w:rsidRPr="00161FFE" w:rsidRDefault="00431B9C" w:rsidP="0049320F">
      <w:pPr>
        <w:pStyle w:val="ListParagraph"/>
        <w:numPr>
          <w:ilvl w:val="0"/>
          <w:numId w:val="30"/>
        </w:numPr>
        <w:autoSpaceDE/>
        <w:autoSpaceDN/>
        <w:adjustRightInd/>
        <w:spacing w:after="0"/>
        <w:rPr>
          <w:rFonts w:cs="Arial"/>
        </w:rPr>
      </w:pPr>
      <w:r w:rsidRPr="00161FFE">
        <w:rPr>
          <w:rFonts w:cs="Arial"/>
        </w:rPr>
        <w:t xml:space="preserve">Public Transport Bus Stations, Interchanges and Information Centres are forecast </w:t>
      </w:r>
      <w:r w:rsidR="00CB3546" w:rsidRPr="00161FFE">
        <w:rPr>
          <w:rFonts w:cs="Arial"/>
        </w:rPr>
        <w:t xml:space="preserve">to </w:t>
      </w:r>
      <w:r w:rsidRPr="00161FFE">
        <w:rPr>
          <w:rFonts w:cs="Arial"/>
        </w:rPr>
        <w:t xml:space="preserve">underspend by £0.225m.  The forecast underspend is </w:t>
      </w:r>
      <w:r w:rsidR="00CB3546" w:rsidRPr="00161FFE">
        <w:rPr>
          <w:rFonts w:cs="Arial"/>
        </w:rPr>
        <w:t xml:space="preserve">a </w:t>
      </w:r>
      <w:r w:rsidRPr="00161FFE">
        <w:rPr>
          <w:rFonts w:cs="Arial"/>
        </w:rPr>
        <w:t xml:space="preserve">non-recurring underspend and relates to Accrington Bus Station.  Whilst there is a budget for Accrington Bus Station (Pennine Reach) in 2016/17, this has now been superseded by the introduction of departure fees as the service moves towards all bus stations operated or supported by the County Council becoming self-financing in order to deliver BOP savings and therefore this budget will be removed in the MTFS from 2017/18.  The forecast does, however, include the </w:t>
      </w:r>
      <w:r w:rsidR="00CB3546" w:rsidRPr="00161FFE">
        <w:rPr>
          <w:rFonts w:cs="Arial"/>
        </w:rPr>
        <w:t xml:space="preserve">receipt and application of </w:t>
      </w:r>
      <w:r w:rsidRPr="00161FFE">
        <w:rPr>
          <w:rFonts w:cs="Arial"/>
        </w:rPr>
        <w:t>£0.700m of Bus</w:t>
      </w:r>
      <w:r w:rsidR="00CB3546" w:rsidRPr="00161FFE">
        <w:rPr>
          <w:rFonts w:cs="Arial"/>
        </w:rPr>
        <w:t xml:space="preserve"> Service Operators Grant (BSOG). </w:t>
      </w:r>
    </w:p>
    <w:p w14:paraId="173EEAF8" w14:textId="77777777" w:rsidR="00431B9C" w:rsidRPr="00161FFE" w:rsidRDefault="00431B9C" w:rsidP="0049320F">
      <w:pPr>
        <w:pStyle w:val="ListParagraph"/>
        <w:numPr>
          <w:ilvl w:val="0"/>
          <w:numId w:val="30"/>
        </w:numPr>
        <w:tabs>
          <w:tab w:val="left" w:pos="851"/>
          <w:tab w:val="left" w:pos="1418"/>
        </w:tabs>
        <w:spacing w:after="0"/>
        <w:rPr>
          <w:rFonts w:cs="Arial"/>
        </w:rPr>
      </w:pPr>
      <w:r w:rsidRPr="00161FFE">
        <w:rPr>
          <w:rFonts w:cs="Arial"/>
        </w:rPr>
        <w:t>Community transport and tendered network bus services are forecast to overspend by £0.073m.</w:t>
      </w:r>
    </w:p>
    <w:p w14:paraId="63C8EAE2" w14:textId="77777777" w:rsidR="00431B9C" w:rsidRPr="00161FFE" w:rsidRDefault="00431B9C" w:rsidP="0049320F">
      <w:pPr>
        <w:tabs>
          <w:tab w:val="left" w:pos="851"/>
          <w:tab w:val="left" w:pos="1418"/>
        </w:tabs>
        <w:spacing w:after="0"/>
        <w:rPr>
          <w:rFonts w:cs="Arial"/>
        </w:rPr>
      </w:pPr>
    </w:p>
    <w:p w14:paraId="2DE7C22F" w14:textId="63DB2539" w:rsidR="00431B9C" w:rsidRPr="00161FFE" w:rsidRDefault="00431B9C" w:rsidP="0049320F">
      <w:pPr>
        <w:tabs>
          <w:tab w:val="left" w:pos="851"/>
          <w:tab w:val="left" w:pos="1418"/>
        </w:tabs>
        <w:spacing w:after="0"/>
        <w:rPr>
          <w:rFonts w:cs="Arial"/>
        </w:rPr>
      </w:pPr>
      <w:r w:rsidRPr="00161FFE">
        <w:rPr>
          <w:rFonts w:cs="Arial"/>
        </w:rPr>
        <w:t xml:space="preserve">The forecast includes the planned application of non-recurrent funding of £0.400m from the </w:t>
      </w:r>
      <w:r w:rsidR="00A15C7B" w:rsidRPr="00161FFE">
        <w:rPr>
          <w:rFonts w:cs="Arial"/>
        </w:rPr>
        <w:t>Transition</w:t>
      </w:r>
      <w:r w:rsidRPr="00161FFE">
        <w:rPr>
          <w:rFonts w:cs="Arial"/>
        </w:rPr>
        <w:t xml:space="preserve"> Reserve to cover the travel costs for young people not in education, employment or training (NEET), £0.089 from the Transitional Reserve to cover the naval architecture fees employed to carry out a feasibility study on and valuation of the Knott End Ferry and revenue costs in 2016/17 and £0.836m also from the Transitional Reserve to fund the cost of transport to day centres.  The forecast also includes a contribution of £0.864m of Bus Service Operators Grant (BSOG) to transport reserves to be used to fund shortfalls in 2017/18 arising from the phased introduction of departure charges at bus stations and a contribution of £0.030m to the </w:t>
      </w:r>
      <w:proofErr w:type="spellStart"/>
      <w:r w:rsidRPr="00161FFE">
        <w:rPr>
          <w:rFonts w:cs="Arial"/>
        </w:rPr>
        <w:t>NoWCard</w:t>
      </w:r>
      <w:proofErr w:type="spellEnd"/>
      <w:r w:rsidRPr="00161FFE">
        <w:rPr>
          <w:rFonts w:cs="Arial"/>
        </w:rPr>
        <w:t xml:space="preserve"> Renewal Reserve to fund the costs of replacing </w:t>
      </w:r>
      <w:proofErr w:type="spellStart"/>
      <w:r w:rsidRPr="00161FFE">
        <w:rPr>
          <w:rFonts w:cs="Arial"/>
        </w:rPr>
        <w:t>NoWCard</w:t>
      </w:r>
      <w:proofErr w:type="spellEnd"/>
      <w:r w:rsidRPr="00161FFE">
        <w:rPr>
          <w:rFonts w:cs="Arial"/>
        </w:rPr>
        <w:t xml:space="preserve"> machines every 5 years.</w:t>
      </w:r>
    </w:p>
    <w:p w14:paraId="3C1EDD83" w14:textId="77777777" w:rsidR="009E083C" w:rsidRPr="00161FFE" w:rsidRDefault="009E083C" w:rsidP="0049320F">
      <w:pPr>
        <w:tabs>
          <w:tab w:val="left" w:pos="851"/>
          <w:tab w:val="left" w:pos="1418"/>
        </w:tabs>
        <w:spacing w:after="0"/>
        <w:rPr>
          <w:rFonts w:cs="Arial"/>
        </w:rPr>
      </w:pPr>
    </w:p>
    <w:p w14:paraId="0724C22F" w14:textId="07F1180E" w:rsidR="009E083C" w:rsidRPr="00161FFE" w:rsidRDefault="009E083C" w:rsidP="0049320F">
      <w:pPr>
        <w:tabs>
          <w:tab w:val="left" w:pos="851"/>
          <w:tab w:val="left" w:pos="1418"/>
        </w:tabs>
        <w:spacing w:after="0"/>
        <w:rPr>
          <w:rFonts w:cs="Arial"/>
        </w:rPr>
      </w:pPr>
      <w:r w:rsidRPr="00161FFE">
        <w:rPr>
          <w:rFonts w:cs="Arial"/>
        </w:rPr>
        <w:t xml:space="preserve">In total the forecast above incorporates savings of </w:t>
      </w:r>
      <w:r w:rsidR="00CB3546" w:rsidRPr="00161FFE">
        <w:rPr>
          <w:rFonts w:cs="Arial"/>
        </w:rPr>
        <w:t>£</w:t>
      </w:r>
      <w:r w:rsidRPr="00161FFE">
        <w:rPr>
          <w:rFonts w:cs="Arial"/>
        </w:rPr>
        <w:t xml:space="preserve">15.133m with the narrative highlighting areas where there are delays in achieving those planned budget reductions. </w:t>
      </w:r>
    </w:p>
    <w:p w14:paraId="2F115600" w14:textId="77777777" w:rsidR="00431B9C" w:rsidRPr="00161FFE" w:rsidRDefault="00431B9C" w:rsidP="0049320F">
      <w:pPr>
        <w:tabs>
          <w:tab w:val="left" w:pos="851"/>
          <w:tab w:val="left" w:pos="1418"/>
        </w:tabs>
        <w:spacing w:after="0"/>
        <w:rPr>
          <w:rFonts w:eastAsia="Times New Roman" w:cs="Arial"/>
          <w:b/>
          <w:lang w:eastAsia="en-GB"/>
        </w:rPr>
      </w:pPr>
    </w:p>
    <w:p w14:paraId="471CF812" w14:textId="2ACBF68E" w:rsidR="00431B9C" w:rsidRPr="00161FFE" w:rsidRDefault="00622590" w:rsidP="0049320F">
      <w:pPr>
        <w:tabs>
          <w:tab w:val="left" w:pos="851"/>
          <w:tab w:val="left" w:pos="1418"/>
        </w:tabs>
        <w:spacing w:after="0"/>
        <w:rPr>
          <w:rFonts w:eastAsia="Times New Roman" w:cs="Arial"/>
          <w:b/>
          <w:lang w:eastAsia="en-GB"/>
        </w:rPr>
      </w:pPr>
      <w:r w:rsidRPr="00161FFE">
        <w:rPr>
          <w:rFonts w:eastAsia="Times New Roman" w:cs="Arial"/>
          <w:b/>
          <w:lang w:eastAsia="en-GB"/>
        </w:rPr>
        <w:t>3.3</w:t>
      </w:r>
      <w:r w:rsidR="00431B9C" w:rsidRPr="00161FFE">
        <w:rPr>
          <w:rFonts w:eastAsia="Times New Roman" w:cs="Arial"/>
          <w:b/>
          <w:lang w:eastAsia="en-GB"/>
        </w:rPr>
        <w:t>.7</w:t>
      </w:r>
      <w:r w:rsidR="00431B9C" w:rsidRPr="00161FFE">
        <w:rPr>
          <w:rFonts w:eastAsia="Times New Roman" w:cs="Arial"/>
          <w:b/>
          <w:lang w:eastAsia="en-GB"/>
        </w:rPr>
        <w:tab/>
        <w:t>Waste Management</w:t>
      </w:r>
    </w:p>
    <w:p w14:paraId="3D659B9D" w14:textId="77777777" w:rsidR="00431B9C" w:rsidRPr="00161FFE" w:rsidRDefault="00431B9C" w:rsidP="0049320F">
      <w:pPr>
        <w:spacing w:after="0"/>
        <w:contextualSpacing/>
        <w:rPr>
          <w:rFonts w:cs="Arial"/>
        </w:rPr>
      </w:pPr>
    </w:p>
    <w:p w14:paraId="7E0F9E0A" w14:textId="77777777" w:rsidR="00431B9C" w:rsidRPr="00161FFE" w:rsidRDefault="00431B9C" w:rsidP="0049320F">
      <w:pPr>
        <w:spacing w:after="0"/>
        <w:contextualSpacing/>
        <w:rPr>
          <w:rFonts w:cs="Arial"/>
        </w:rPr>
      </w:pPr>
      <w:r w:rsidRPr="00161FFE">
        <w:rPr>
          <w:rFonts w:cs="Arial"/>
        </w:rPr>
        <w:t>Waste Management is forecast to overspend by £2.442m in 2016/17.</w:t>
      </w:r>
    </w:p>
    <w:p w14:paraId="382ED4D4" w14:textId="77777777" w:rsidR="00431B9C" w:rsidRPr="00161FFE" w:rsidRDefault="00431B9C" w:rsidP="0049320F">
      <w:pPr>
        <w:spacing w:after="0"/>
        <w:contextualSpacing/>
        <w:rPr>
          <w:rFonts w:cs="Arial"/>
        </w:rPr>
      </w:pPr>
    </w:p>
    <w:p w14:paraId="77A791C5" w14:textId="77777777" w:rsidR="00431B9C" w:rsidRPr="00161FFE" w:rsidRDefault="00431B9C" w:rsidP="0049320F">
      <w:pPr>
        <w:spacing w:after="0"/>
        <w:contextualSpacing/>
        <w:rPr>
          <w:rFonts w:cs="Arial"/>
        </w:rPr>
      </w:pPr>
      <w:r w:rsidRPr="00161FFE">
        <w:rPr>
          <w:rFonts w:cs="Arial"/>
        </w:rPr>
        <w:t>Forecast overspends of £1.841m can be attributed to assumptions made in the MTFS which have not materialised.  In addition, an increase in residual waste arisings of 4% is being forecast (compared to a previously assumed 1%) which is resulting in forecast overspends of £1.170m. This is partly offset by forecast underspends of £0.569m in a number of other areas including garden waste composting, where work with district councils to remove food waste from garden waste collections has been completed allowing in year reductions in gate prices. The high cost of insurance premiums at the waste recovery parks, and deflated markets for the sale of recyclable materials, continue to put pressure on the waste budget.</w:t>
      </w:r>
    </w:p>
    <w:p w14:paraId="72901AB7" w14:textId="77777777" w:rsidR="00431B9C" w:rsidRPr="00161FFE" w:rsidRDefault="00431B9C" w:rsidP="0049320F">
      <w:pPr>
        <w:spacing w:after="0"/>
        <w:contextualSpacing/>
        <w:rPr>
          <w:rFonts w:cs="Arial"/>
        </w:rPr>
      </w:pPr>
    </w:p>
    <w:p w14:paraId="08E64404" w14:textId="107DB756" w:rsidR="00431B9C" w:rsidRPr="00161FFE" w:rsidRDefault="00431B9C" w:rsidP="00F33AA4">
      <w:pPr>
        <w:spacing w:after="0"/>
        <w:contextualSpacing/>
        <w:rPr>
          <w:rFonts w:cs="Arial"/>
        </w:rPr>
      </w:pPr>
      <w:r w:rsidRPr="00161FFE">
        <w:rPr>
          <w:rFonts w:cs="Arial"/>
        </w:rPr>
        <w:t>The forecast includes</w:t>
      </w:r>
      <w:r w:rsidR="00EB03D7" w:rsidRPr="00161FFE">
        <w:rPr>
          <w:rFonts w:cs="Arial"/>
        </w:rPr>
        <w:t xml:space="preserve"> agreed budget reductions of £20.337m however some of the savings are offset by the approved</w:t>
      </w:r>
      <w:r w:rsidRPr="00161FFE">
        <w:rPr>
          <w:rFonts w:cs="Arial"/>
        </w:rPr>
        <w:t xml:space="preserve"> application of non-recurrent funding of £10.258m from the Transitional Reserve to cover the costs of payments to District Councils under cost sharing arrangements and £7.750m also from the Transitional Reserve to cover transition costs associated with the transformation of the waste company.</w:t>
      </w:r>
    </w:p>
    <w:p w14:paraId="04CC0162" w14:textId="409E4519" w:rsidR="00431B9C" w:rsidRDefault="00622590" w:rsidP="0049320F">
      <w:pPr>
        <w:tabs>
          <w:tab w:val="left" w:pos="851"/>
          <w:tab w:val="left" w:pos="1418"/>
        </w:tabs>
        <w:spacing w:after="0"/>
        <w:rPr>
          <w:b/>
        </w:rPr>
      </w:pPr>
      <w:r>
        <w:rPr>
          <w:b/>
        </w:rPr>
        <w:lastRenderedPageBreak/>
        <w:t>3.4</w:t>
      </w:r>
      <w:r w:rsidR="00431B9C">
        <w:rPr>
          <w:b/>
        </w:rPr>
        <w:tab/>
        <w:t>Operations and Delivery – Public Health and Wellbeing Services</w:t>
      </w:r>
    </w:p>
    <w:p w14:paraId="215DBB5C" w14:textId="77777777" w:rsidR="00431B9C" w:rsidRDefault="00431B9C" w:rsidP="0049320F">
      <w:pPr>
        <w:tabs>
          <w:tab w:val="left" w:pos="851"/>
          <w:tab w:val="left" w:pos="1418"/>
        </w:tabs>
        <w:spacing w:after="0"/>
        <w:contextualSpacing/>
        <w:rPr>
          <w:rFonts w:cs="Arial"/>
        </w:rPr>
      </w:pPr>
    </w:p>
    <w:tbl>
      <w:tblPr>
        <w:tblW w:w="9133" w:type="dxa"/>
        <w:tblLook w:val="04A0" w:firstRow="1" w:lastRow="0" w:firstColumn="1" w:lastColumn="0" w:noHBand="0" w:noVBand="1"/>
      </w:tblPr>
      <w:tblGrid>
        <w:gridCol w:w="782"/>
        <w:gridCol w:w="3980"/>
        <w:gridCol w:w="1457"/>
        <w:gridCol w:w="1457"/>
        <w:gridCol w:w="1457"/>
      </w:tblGrid>
      <w:tr w:rsidR="00431B9C" w:rsidRPr="00054520" w14:paraId="0A53C079" w14:textId="77777777" w:rsidTr="00431B9C">
        <w:trPr>
          <w:trHeight w:val="1088"/>
        </w:trPr>
        <w:tc>
          <w:tcPr>
            <w:tcW w:w="782" w:type="dxa"/>
            <w:tcBorders>
              <w:top w:val="single" w:sz="4" w:space="0" w:color="auto"/>
              <w:left w:val="single" w:sz="4" w:space="0" w:color="auto"/>
              <w:bottom w:val="nil"/>
              <w:right w:val="single" w:sz="4" w:space="0" w:color="auto"/>
            </w:tcBorders>
            <w:shd w:val="clear" w:color="000000" w:fill="D9D9D9"/>
            <w:vAlign w:val="bottom"/>
            <w:hideMark/>
          </w:tcPr>
          <w:p w14:paraId="23E97916" w14:textId="77777777" w:rsidR="00431B9C" w:rsidRPr="00054520" w:rsidRDefault="00431B9C" w:rsidP="0049320F">
            <w:pPr>
              <w:autoSpaceDE/>
              <w:autoSpaceDN/>
              <w:adjustRightInd/>
              <w:spacing w:after="0"/>
              <w:rPr>
                <w:rFonts w:eastAsia="Times New Roman" w:cs="Arial"/>
                <w:b/>
                <w:bCs/>
                <w:sz w:val="20"/>
                <w:szCs w:val="20"/>
                <w:lang w:eastAsia="en-GB"/>
              </w:rPr>
            </w:pPr>
            <w:r w:rsidRPr="00054520">
              <w:rPr>
                <w:rFonts w:eastAsia="Times New Roman" w:cs="Arial"/>
                <w:b/>
                <w:bCs/>
                <w:sz w:val="20"/>
                <w:szCs w:val="20"/>
                <w:lang w:eastAsia="en-GB"/>
              </w:rPr>
              <w:t>Ref</w:t>
            </w:r>
          </w:p>
        </w:tc>
        <w:tc>
          <w:tcPr>
            <w:tcW w:w="3980" w:type="dxa"/>
            <w:tcBorders>
              <w:top w:val="single" w:sz="4" w:space="0" w:color="auto"/>
              <w:left w:val="nil"/>
              <w:bottom w:val="nil"/>
              <w:right w:val="single" w:sz="4" w:space="0" w:color="auto"/>
            </w:tcBorders>
            <w:shd w:val="clear" w:color="000000" w:fill="D9D9D9"/>
            <w:vAlign w:val="bottom"/>
            <w:hideMark/>
          </w:tcPr>
          <w:p w14:paraId="4ED71177" w14:textId="77777777" w:rsidR="00431B9C" w:rsidRPr="00054520" w:rsidRDefault="00431B9C" w:rsidP="0049320F">
            <w:pPr>
              <w:autoSpaceDE/>
              <w:autoSpaceDN/>
              <w:adjustRightInd/>
              <w:spacing w:after="0"/>
              <w:rPr>
                <w:rFonts w:eastAsia="Times New Roman" w:cs="Arial"/>
                <w:b/>
                <w:bCs/>
                <w:sz w:val="20"/>
                <w:szCs w:val="20"/>
                <w:lang w:eastAsia="en-GB"/>
              </w:rPr>
            </w:pPr>
            <w:r w:rsidRPr="00054520">
              <w:rPr>
                <w:rFonts w:eastAsia="Times New Roman" w:cs="Arial"/>
                <w:b/>
                <w:bCs/>
                <w:sz w:val="20"/>
                <w:szCs w:val="20"/>
                <w:lang w:eastAsia="en-GB"/>
              </w:rPr>
              <w:t>HEAD OF SERVICE</w:t>
            </w:r>
          </w:p>
        </w:tc>
        <w:tc>
          <w:tcPr>
            <w:tcW w:w="1457" w:type="dxa"/>
            <w:tcBorders>
              <w:top w:val="single" w:sz="4" w:space="0" w:color="auto"/>
              <w:left w:val="nil"/>
              <w:bottom w:val="nil"/>
              <w:right w:val="single" w:sz="4" w:space="0" w:color="auto"/>
            </w:tcBorders>
            <w:shd w:val="clear" w:color="000000" w:fill="D9D9D9"/>
            <w:vAlign w:val="bottom"/>
            <w:hideMark/>
          </w:tcPr>
          <w:p w14:paraId="2BC5DF38" w14:textId="77777777" w:rsidR="00431B9C" w:rsidRPr="00054520" w:rsidRDefault="00431B9C" w:rsidP="0049320F">
            <w:pPr>
              <w:autoSpaceDE/>
              <w:autoSpaceDN/>
              <w:adjustRightInd/>
              <w:spacing w:after="0"/>
              <w:rPr>
                <w:rFonts w:eastAsia="Times New Roman" w:cs="Arial"/>
                <w:b/>
                <w:bCs/>
                <w:sz w:val="20"/>
                <w:szCs w:val="20"/>
                <w:lang w:eastAsia="en-GB"/>
              </w:rPr>
            </w:pPr>
            <w:r w:rsidRPr="00054520">
              <w:rPr>
                <w:rFonts w:eastAsia="Times New Roman" w:cs="Arial"/>
                <w:b/>
                <w:bCs/>
                <w:sz w:val="20"/>
                <w:szCs w:val="20"/>
                <w:lang w:eastAsia="en-GB"/>
              </w:rPr>
              <w:t>Approved Budget</w:t>
            </w:r>
          </w:p>
        </w:tc>
        <w:tc>
          <w:tcPr>
            <w:tcW w:w="1457" w:type="dxa"/>
            <w:tcBorders>
              <w:top w:val="single" w:sz="4" w:space="0" w:color="auto"/>
              <w:left w:val="nil"/>
              <w:bottom w:val="nil"/>
              <w:right w:val="single" w:sz="4" w:space="0" w:color="auto"/>
            </w:tcBorders>
            <w:shd w:val="clear" w:color="000000" w:fill="D9D9D9"/>
            <w:vAlign w:val="bottom"/>
            <w:hideMark/>
          </w:tcPr>
          <w:p w14:paraId="61112AC7" w14:textId="77777777" w:rsidR="00431B9C" w:rsidRPr="00054520" w:rsidRDefault="00431B9C" w:rsidP="0049320F">
            <w:pPr>
              <w:autoSpaceDE/>
              <w:autoSpaceDN/>
              <w:adjustRightInd/>
              <w:spacing w:after="0"/>
              <w:rPr>
                <w:rFonts w:eastAsia="Times New Roman" w:cs="Arial"/>
                <w:b/>
                <w:bCs/>
                <w:sz w:val="20"/>
                <w:szCs w:val="20"/>
                <w:lang w:eastAsia="en-GB"/>
              </w:rPr>
            </w:pPr>
            <w:r w:rsidRPr="00054520">
              <w:rPr>
                <w:rFonts w:eastAsia="Times New Roman" w:cs="Arial"/>
                <w:b/>
                <w:bCs/>
                <w:sz w:val="20"/>
                <w:szCs w:val="20"/>
                <w:lang w:eastAsia="en-GB"/>
              </w:rPr>
              <w:t>Current Period Forecast Outturn</w:t>
            </w:r>
          </w:p>
        </w:tc>
        <w:tc>
          <w:tcPr>
            <w:tcW w:w="1457" w:type="dxa"/>
            <w:tcBorders>
              <w:top w:val="single" w:sz="4" w:space="0" w:color="auto"/>
              <w:left w:val="nil"/>
              <w:bottom w:val="nil"/>
              <w:right w:val="single" w:sz="4" w:space="0" w:color="auto"/>
            </w:tcBorders>
            <w:shd w:val="clear" w:color="000000" w:fill="D9D9D9"/>
            <w:vAlign w:val="bottom"/>
            <w:hideMark/>
          </w:tcPr>
          <w:p w14:paraId="6AA3006A" w14:textId="77777777" w:rsidR="00431B9C" w:rsidRPr="00054520" w:rsidRDefault="00431B9C" w:rsidP="0049320F">
            <w:pPr>
              <w:autoSpaceDE/>
              <w:autoSpaceDN/>
              <w:adjustRightInd/>
              <w:spacing w:after="0"/>
              <w:rPr>
                <w:rFonts w:eastAsia="Times New Roman" w:cs="Arial"/>
                <w:b/>
                <w:bCs/>
                <w:sz w:val="20"/>
                <w:szCs w:val="20"/>
                <w:lang w:eastAsia="en-GB"/>
              </w:rPr>
            </w:pPr>
            <w:r w:rsidRPr="00054520">
              <w:rPr>
                <w:rFonts w:eastAsia="Times New Roman" w:cs="Arial"/>
                <w:b/>
                <w:bCs/>
                <w:sz w:val="20"/>
                <w:szCs w:val="20"/>
                <w:lang w:eastAsia="en-GB"/>
              </w:rPr>
              <w:t>Current Period Forecast Variance</w:t>
            </w:r>
          </w:p>
        </w:tc>
      </w:tr>
      <w:tr w:rsidR="00431B9C" w:rsidRPr="00054520" w14:paraId="6EBB056E" w14:textId="77777777" w:rsidTr="00431B9C">
        <w:trPr>
          <w:trHeight w:val="272"/>
        </w:trPr>
        <w:tc>
          <w:tcPr>
            <w:tcW w:w="782" w:type="dxa"/>
            <w:tcBorders>
              <w:top w:val="nil"/>
              <w:left w:val="single" w:sz="4" w:space="0" w:color="auto"/>
              <w:bottom w:val="single" w:sz="4" w:space="0" w:color="auto"/>
              <w:right w:val="single" w:sz="4" w:space="0" w:color="auto"/>
            </w:tcBorders>
            <w:shd w:val="clear" w:color="000000" w:fill="D9D9D9"/>
            <w:vAlign w:val="bottom"/>
            <w:hideMark/>
          </w:tcPr>
          <w:p w14:paraId="4A0B8CE4" w14:textId="77777777" w:rsidR="00431B9C" w:rsidRPr="00054520" w:rsidRDefault="00431B9C" w:rsidP="0049320F">
            <w:pPr>
              <w:autoSpaceDE/>
              <w:autoSpaceDN/>
              <w:adjustRightInd/>
              <w:spacing w:after="0"/>
              <w:rPr>
                <w:rFonts w:eastAsia="Times New Roman" w:cs="Arial"/>
                <w:b/>
                <w:bCs/>
                <w:sz w:val="20"/>
                <w:szCs w:val="20"/>
                <w:lang w:eastAsia="en-GB"/>
              </w:rPr>
            </w:pPr>
            <w:r w:rsidRPr="00054520">
              <w:rPr>
                <w:rFonts w:eastAsia="Times New Roman" w:cs="Arial"/>
                <w:b/>
                <w:bCs/>
                <w:sz w:val="20"/>
                <w:szCs w:val="20"/>
                <w:lang w:eastAsia="en-GB"/>
              </w:rPr>
              <w:t> </w:t>
            </w:r>
          </w:p>
        </w:tc>
        <w:tc>
          <w:tcPr>
            <w:tcW w:w="3980" w:type="dxa"/>
            <w:tcBorders>
              <w:top w:val="nil"/>
              <w:left w:val="nil"/>
              <w:bottom w:val="single" w:sz="4" w:space="0" w:color="auto"/>
              <w:right w:val="single" w:sz="4" w:space="0" w:color="auto"/>
            </w:tcBorders>
            <w:shd w:val="clear" w:color="000000" w:fill="D9D9D9"/>
            <w:vAlign w:val="bottom"/>
            <w:hideMark/>
          </w:tcPr>
          <w:p w14:paraId="3828E3BD" w14:textId="77777777" w:rsidR="00431B9C" w:rsidRPr="00054520" w:rsidRDefault="00431B9C" w:rsidP="0049320F">
            <w:pPr>
              <w:autoSpaceDE/>
              <w:autoSpaceDN/>
              <w:adjustRightInd/>
              <w:spacing w:after="0"/>
              <w:rPr>
                <w:rFonts w:eastAsia="Times New Roman" w:cs="Arial"/>
                <w:b/>
                <w:bCs/>
                <w:sz w:val="20"/>
                <w:szCs w:val="20"/>
                <w:lang w:eastAsia="en-GB"/>
              </w:rPr>
            </w:pPr>
            <w:r w:rsidRPr="00054520">
              <w:rPr>
                <w:rFonts w:eastAsia="Times New Roman" w:cs="Arial"/>
                <w:b/>
                <w:bCs/>
                <w:sz w:val="20"/>
                <w:szCs w:val="20"/>
                <w:lang w:eastAsia="en-GB"/>
              </w:rPr>
              <w:t> </w:t>
            </w:r>
          </w:p>
        </w:tc>
        <w:tc>
          <w:tcPr>
            <w:tcW w:w="1457" w:type="dxa"/>
            <w:tcBorders>
              <w:top w:val="nil"/>
              <w:left w:val="nil"/>
              <w:bottom w:val="single" w:sz="4" w:space="0" w:color="auto"/>
              <w:right w:val="single" w:sz="4" w:space="0" w:color="auto"/>
            </w:tcBorders>
            <w:shd w:val="clear" w:color="000000" w:fill="D9D9D9"/>
            <w:vAlign w:val="bottom"/>
            <w:hideMark/>
          </w:tcPr>
          <w:p w14:paraId="13B5AC7E" w14:textId="77777777" w:rsidR="00431B9C" w:rsidRPr="00054520" w:rsidRDefault="00431B9C" w:rsidP="0049320F">
            <w:pPr>
              <w:autoSpaceDE/>
              <w:autoSpaceDN/>
              <w:adjustRightInd/>
              <w:spacing w:after="0"/>
              <w:rPr>
                <w:rFonts w:eastAsia="Times New Roman" w:cs="Arial"/>
                <w:b/>
                <w:bCs/>
                <w:sz w:val="20"/>
                <w:szCs w:val="20"/>
                <w:lang w:eastAsia="en-GB"/>
              </w:rPr>
            </w:pPr>
            <w:r w:rsidRPr="00054520">
              <w:rPr>
                <w:rFonts w:eastAsia="Times New Roman" w:cs="Arial"/>
                <w:b/>
                <w:bCs/>
                <w:sz w:val="20"/>
                <w:szCs w:val="20"/>
                <w:lang w:eastAsia="en-GB"/>
              </w:rPr>
              <w:t>£m</w:t>
            </w:r>
          </w:p>
        </w:tc>
        <w:tc>
          <w:tcPr>
            <w:tcW w:w="1457" w:type="dxa"/>
            <w:tcBorders>
              <w:top w:val="nil"/>
              <w:left w:val="nil"/>
              <w:bottom w:val="single" w:sz="4" w:space="0" w:color="auto"/>
              <w:right w:val="single" w:sz="4" w:space="0" w:color="auto"/>
            </w:tcBorders>
            <w:shd w:val="clear" w:color="000000" w:fill="D9D9D9"/>
            <w:vAlign w:val="bottom"/>
            <w:hideMark/>
          </w:tcPr>
          <w:p w14:paraId="3BA727A7" w14:textId="77777777" w:rsidR="00431B9C" w:rsidRPr="00054520" w:rsidRDefault="00431B9C" w:rsidP="0049320F">
            <w:pPr>
              <w:autoSpaceDE/>
              <w:autoSpaceDN/>
              <w:adjustRightInd/>
              <w:spacing w:after="0"/>
              <w:rPr>
                <w:rFonts w:eastAsia="Times New Roman" w:cs="Arial"/>
                <w:b/>
                <w:bCs/>
                <w:sz w:val="20"/>
                <w:szCs w:val="20"/>
                <w:lang w:eastAsia="en-GB"/>
              </w:rPr>
            </w:pPr>
            <w:r w:rsidRPr="00054520">
              <w:rPr>
                <w:rFonts w:eastAsia="Times New Roman" w:cs="Arial"/>
                <w:b/>
                <w:bCs/>
                <w:sz w:val="20"/>
                <w:szCs w:val="20"/>
                <w:lang w:eastAsia="en-GB"/>
              </w:rPr>
              <w:t>£m</w:t>
            </w:r>
          </w:p>
        </w:tc>
        <w:tc>
          <w:tcPr>
            <w:tcW w:w="1457" w:type="dxa"/>
            <w:tcBorders>
              <w:top w:val="nil"/>
              <w:left w:val="nil"/>
              <w:bottom w:val="single" w:sz="4" w:space="0" w:color="auto"/>
              <w:right w:val="single" w:sz="4" w:space="0" w:color="auto"/>
            </w:tcBorders>
            <w:shd w:val="clear" w:color="000000" w:fill="D9D9D9"/>
            <w:vAlign w:val="bottom"/>
            <w:hideMark/>
          </w:tcPr>
          <w:p w14:paraId="16A90F42" w14:textId="77777777" w:rsidR="00431B9C" w:rsidRPr="00054520" w:rsidRDefault="00431B9C" w:rsidP="0049320F">
            <w:pPr>
              <w:autoSpaceDE/>
              <w:autoSpaceDN/>
              <w:adjustRightInd/>
              <w:spacing w:after="0"/>
              <w:rPr>
                <w:rFonts w:eastAsia="Times New Roman" w:cs="Arial"/>
                <w:b/>
                <w:bCs/>
                <w:sz w:val="20"/>
                <w:szCs w:val="20"/>
                <w:lang w:eastAsia="en-GB"/>
              </w:rPr>
            </w:pPr>
            <w:r w:rsidRPr="00054520">
              <w:rPr>
                <w:rFonts w:eastAsia="Times New Roman" w:cs="Arial"/>
                <w:b/>
                <w:bCs/>
                <w:sz w:val="20"/>
                <w:szCs w:val="20"/>
                <w:lang w:eastAsia="en-GB"/>
              </w:rPr>
              <w:t>£m</w:t>
            </w:r>
          </w:p>
        </w:tc>
      </w:tr>
      <w:tr w:rsidR="00431B9C" w:rsidRPr="00054520" w14:paraId="230BDA99" w14:textId="77777777" w:rsidTr="00431B9C">
        <w:trPr>
          <w:trHeight w:val="544"/>
        </w:trPr>
        <w:tc>
          <w:tcPr>
            <w:tcW w:w="782" w:type="dxa"/>
            <w:tcBorders>
              <w:top w:val="nil"/>
              <w:left w:val="single" w:sz="4" w:space="0" w:color="auto"/>
              <w:bottom w:val="single" w:sz="4" w:space="0" w:color="auto"/>
              <w:right w:val="single" w:sz="4" w:space="0" w:color="auto"/>
            </w:tcBorders>
            <w:shd w:val="clear" w:color="000000" w:fill="FFFFFF"/>
            <w:noWrap/>
            <w:hideMark/>
          </w:tcPr>
          <w:p w14:paraId="17CC3E7B" w14:textId="753C2894" w:rsidR="00431B9C" w:rsidRPr="00054520" w:rsidRDefault="00622590" w:rsidP="0049320F">
            <w:pPr>
              <w:autoSpaceDE/>
              <w:autoSpaceDN/>
              <w:adjustRightInd/>
              <w:spacing w:after="0"/>
              <w:rPr>
                <w:rFonts w:eastAsia="Times New Roman" w:cs="Arial"/>
                <w:b/>
                <w:bCs/>
                <w:sz w:val="20"/>
                <w:szCs w:val="20"/>
                <w:lang w:eastAsia="en-GB"/>
              </w:rPr>
            </w:pPr>
            <w:r>
              <w:rPr>
                <w:rFonts w:eastAsia="Times New Roman" w:cs="Arial"/>
                <w:b/>
                <w:bCs/>
                <w:sz w:val="20"/>
                <w:szCs w:val="20"/>
                <w:lang w:eastAsia="en-GB"/>
              </w:rPr>
              <w:t>3.4</w:t>
            </w:r>
            <w:r w:rsidR="00431B9C" w:rsidRPr="00054520">
              <w:rPr>
                <w:rFonts w:eastAsia="Times New Roman" w:cs="Arial"/>
                <w:b/>
                <w:bCs/>
                <w:sz w:val="20"/>
                <w:szCs w:val="20"/>
                <w:lang w:eastAsia="en-GB"/>
              </w:rPr>
              <w:t>.1</w:t>
            </w:r>
          </w:p>
        </w:tc>
        <w:tc>
          <w:tcPr>
            <w:tcW w:w="3980" w:type="dxa"/>
            <w:tcBorders>
              <w:top w:val="nil"/>
              <w:left w:val="nil"/>
              <w:bottom w:val="single" w:sz="4" w:space="0" w:color="auto"/>
              <w:right w:val="single" w:sz="4" w:space="0" w:color="auto"/>
            </w:tcBorders>
            <w:shd w:val="clear" w:color="000000" w:fill="FFFFFF"/>
            <w:hideMark/>
          </w:tcPr>
          <w:p w14:paraId="1185AF5B" w14:textId="77777777" w:rsidR="00431B9C" w:rsidRPr="00054520" w:rsidRDefault="00431B9C" w:rsidP="00F33AA4">
            <w:pPr>
              <w:autoSpaceDE/>
              <w:autoSpaceDN/>
              <w:adjustRightInd/>
              <w:spacing w:after="0"/>
              <w:jc w:val="left"/>
              <w:rPr>
                <w:rFonts w:eastAsia="Times New Roman" w:cs="Arial"/>
                <w:sz w:val="20"/>
                <w:szCs w:val="20"/>
                <w:lang w:eastAsia="en-GB"/>
              </w:rPr>
            </w:pPr>
            <w:r>
              <w:rPr>
                <w:rFonts w:cs="Arial"/>
                <w:sz w:val="20"/>
                <w:szCs w:val="20"/>
              </w:rPr>
              <w:t>PUBLIC HEALTH &amp; WELLBEING</w:t>
            </w:r>
          </w:p>
        </w:tc>
        <w:tc>
          <w:tcPr>
            <w:tcW w:w="1457" w:type="dxa"/>
            <w:tcBorders>
              <w:top w:val="nil"/>
              <w:left w:val="nil"/>
              <w:bottom w:val="single" w:sz="4" w:space="0" w:color="auto"/>
              <w:right w:val="single" w:sz="4" w:space="0" w:color="auto"/>
            </w:tcBorders>
            <w:shd w:val="clear" w:color="000000" w:fill="FFFFFF"/>
            <w:hideMark/>
          </w:tcPr>
          <w:p w14:paraId="50A4F227" w14:textId="77777777" w:rsidR="00431B9C" w:rsidRPr="00054520" w:rsidRDefault="00431B9C" w:rsidP="0049320F">
            <w:pPr>
              <w:autoSpaceDE/>
              <w:autoSpaceDN/>
              <w:adjustRightInd/>
              <w:spacing w:after="0"/>
              <w:rPr>
                <w:rFonts w:eastAsia="Times New Roman" w:cs="Arial"/>
                <w:sz w:val="20"/>
                <w:szCs w:val="20"/>
                <w:lang w:eastAsia="en-GB"/>
              </w:rPr>
            </w:pPr>
            <w:r>
              <w:rPr>
                <w:rFonts w:cs="Arial"/>
                <w:sz w:val="20"/>
                <w:szCs w:val="20"/>
              </w:rPr>
              <w:t xml:space="preserve">-73.727 </w:t>
            </w:r>
          </w:p>
        </w:tc>
        <w:tc>
          <w:tcPr>
            <w:tcW w:w="1457" w:type="dxa"/>
            <w:tcBorders>
              <w:top w:val="nil"/>
              <w:left w:val="nil"/>
              <w:bottom w:val="single" w:sz="4" w:space="0" w:color="auto"/>
              <w:right w:val="single" w:sz="4" w:space="0" w:color="auto"/>
            </w:tcBorders>
            <w:shd w:val="clear" w:color="000000" w:fill="FFFFFF"/>
            <w:hideMark/>
          </w:tcPr>
          <w:p w14:paraId="62EA8F91" w14:textId="77777777" w:rsidR="00431B9C" w:rsidRPr="00054520" w:rsidRDefault="00431B9C" w:rsidP="0049320F">
            <w:pPr>
              <w:autoSpaceDE/>
              <w:autoSpaceDN/>
              <w:adjustRightInd/>
              <w:spacing w:after="0"/>
              <w:rPr>
                <w:rFonts w:eastAsia="Times New Roman" w:cs="Arial"/>
                <w:sz w:val="20"/>
                <w:szCs w:val="20"/>
                <w:lang w:eastAsia="en-GB"/>
              </w:rPr>
            </w:pPr>
            <w:r>
              <w:rPr>
                <w:rFonts w:cs="Arial"/>
                <w:sz w:val="20"/>
                <w:szCs w:val="20"/>
              </w:rPr>
              <w:t xml:space="preserve">-71.778 </w:t>
            </w:r>
          </w:p>
        </w:tc>
        <w:tc>
          <w:tcPr>
            <w:tcW w:w="1457" w:type="dxa"/>
            <w:tcBorders>
              <w:top w:val="nil"/>
              <w:left w:val="nil"/>
              <w:bottom w:val="single" w:sz="4" w:space="0" w:color="auto"/>
              <w:right w:val="single" w:sz="4" w:space="0" w:color="auto"/>
            </w:tcBorders>
            <w:shd w:val="clear" w:color="000000" w:fill="FFFFFF"/>
            <w:hideMark/>
          </w:tcPr>
          <w:p w14:paraId="5B929FDD" w14:textId="77777777" w:rsidR="00431B9C" w:rsidRPr="00054520" w:rsidRDefault="00431B9C" w:rsidP="0049320F">
            <w:pPr>
              <w:autoSpaceDE/>
              <w:autoSpaceDN/>
              <w:adjustRightInd/>
              <w:spacing w:after="0"/>
              <w:rPr>
                <w:rFonts w:eastAsia="Times New Roman" w:cs="Arial"/>
                <w:sz w:val="20"/>
                <w:szCs w:val="20"/>
                <w:lang w:eastAsia="en-GB"/>
              </w:rPr>
            </w:pPr>
            <w:r>
              <w:rPr>
                <w:rFonts w:cs="Arial"/>
                <w:sz w:val="20"/>
                <w:szCs w:val="20"/>
              </w:rPr>
              <w:t xml:space="preserve">1.949 </w:t>
            </w:r>
          </w:p>
        </w:tc>
      </w:tr>
      <w:tr w:rsidR="00431B9C" w:rsidRPr="00054520" w14:paraId="45AD8F3E" w14:textId="77777777" w:rsidTr="00431B9C">
        <w:trPr>
          <w:trHeight w:val="720"/>
        </w:trPr>
        <w:tc>
          <w:tcPr>
            <w:tcW w:w="782" w:type="dxa"/>
            <w:tcBorders>
              <w:top w:val="nil"/>
              <w:left w:val="single" w:sz="4" w:space="0" w:color="auto"/>
              <w:bottom w:val="single" w:sz="4" w:space="0" w:color="auto"/>
              <w:right w:val="single" w:sz="4" w:space="0" w:color="auto"/>
            </w:tcBorders>
            <w:shd w:val="clear" w:color="000000" w:fill="FFFFFF"/>
            <w:noWrap/>
            <w:hideMark/>
          </w:tcPr>
          <w:p w14:paraId="18CDD5FC" w14:textId="7BF50DA6" w:rsidR="00431B9C" w:rsidRPr="00054520" w:rsidRDefault="00431B9C" w:rsidP="0049320F">
            <w:pPr>
              <w:autoSpaceDE/>
              <w:autoSpaceDN/>
              <w:adjustRightInd/>
              <w:spacing w:after="0"/>
              <w:rPr>
                <w:rFonts w:eastAsia="Times New Roman" w:cs="Arial"/>
                <w:b/>
                <w:bCs/>
                <w:sz w:val="20"/>
                <w:szCs w:val="20"/>
                <w:lang w:eastAsia="en-GB"/>
              </w:rPr>
            </w:pPr>
            <w:r w:rsidRPr="00054520">
              <w:rPr>
                <w:rFonts w:eastAsia="Times New Roman" w:cs="Arial"/>
                <w:b/>
                <w:bCs/>
                <w:sz w:val="20"/>
                <w:szCs w:val="20"/>
                <w:lang w:eastAsia="en-GB"/>
              </w:rPr>
              <w:t>3.</w:t>
            </w:r>
            <w:r w:rsidR="00622590">
              <w:rPr>
                <w:rFonts w:eastAsia="Times New Roman" w:cs="Arial"/>
                <w:b/>
                <w:bCs/>
                <w:sz w:val="20"/>
                <w:szCs w:val="20"/>
                <w:lang w:eastAsia="en-GB"/>
              </w:rPr>
              <w:t>4</w:t>
            </w:r>
            <w:r w:rsidRPr="00054520">
              <w:rPr>
                <w:rFonts w:eastAsia="Times New Roman" w:cs="Arial"/>
                <w:b/>
                <w:bCs/>
                <w:sz w:val="20"/>
                <w:szCs w:val="20"/>
                <w:lang w:eastAsia="en-GB"/>
              </w:rPr>
              <w:t>.2</w:t>
            </w:r>
          </w:p>
        </w:tc>
        <w:tc>
          <w:tcPr>
            <w:tcW w:w="3980" w:type="dxa"/>
            <w:tcBorders>
              <w:top w:val="nil"/>
              <w:left w:val="nil"/>
              <w:bottom w:val="single" w:sz="4" w:space="0" w:color="auto"/>
              <w:right w:val="single" w:sz="4" w:space="0" w:color="auto"/>
            </w:tcBorders>
            <w:shd w:val="clear" w:color="000000" w:fill="FFFFFF"/>
            <w:hideMark/>
          </w:tcPr>
          <w:p w14:paraId="2B96D314" w14:textId="77777777" w:rsidR="00431B9C" w:rsidRPr="00054520" w:rsidRDefault="00431B9C" w:rsidP="00F33AA4">
            <w:pPr>
              <w:autoSpaceDE/>
              <w:autoSpaceDN/>
              <w:adjustRightInd/>
              <w:spacing w:after="0"/>
              <w:jc w:val="left"/>
              <w:rPr>
                <w:rFonts w:eastAsia="Times New Roman" w:cs="Arial"/>
                <w:sz w:val="20"/>
                <w:szCs w:val="20"/>
                <w:lang w:eastAsia="en-GB"/>
              </w:rPr>
            </w:pPr>
            <w:r>
              <w:rPr>
                <w:rFonts w:cs="Arial"/>
                <w:sz w:val="20"/>
                <w:szCs w:val="20"/>
              </w:rPr>
              <w:t>PATIENT SAFETY &amp; QUALITY IMPROVEMENT</w:t>
            </w:r>
          </w:p>
        </w:tc>
        <w:tc>
          <w:tcPr>
            <w:tcW w:w="1457" w:type="dxa"/>
            <w:tcBorders>
              <w:top w:val="nil"/>
              <w:left w:val="nil"/>
              <w:bottom w:val="single" w:sz="4" w:space="0" w:color="auto"/>
              <w:right w:val="single" w:sz="4" w:space="0" w:color="auto"/>
            </w:tcBorders>
            <w:shd w:val="clear" w:color="000000" w:fill="FFFFFF"/>
            <w:hideMark/>
          </w:tcPr>
          <w:p w14:paraId="542C7863" w14:textId="77777777" w:rsidR="00431B9C" w:rsidRPr="00054520" w:rsidRDefault="00431B9C" w:rsidP="0049320F">
            <w:pPr>
              <w:autoSpaceDE/>
              <w:autoSpaceDN/>
              <w:adjustRightInd/>
              <w:spacing w:after="0"/>
              <w:rPr>
                <w:rFonts w:eastAsia="Times New Roman" w:cs="Arial"/>
                <w:sz w:val="20"/>
                <w:szCs w:val="20"/>
                <w:lang w:eastAsia="en-GB"/>
              </w:rPr>
            </w:pPr>
            <w:r>
              <w:rPr>
                <w:rFonts w:cs="Arial"/>
                <w:sz w:val="20"/>
                <w:szCs w:val="20"/>
              </w:rPr>
              <w:t xml:space="preserve">4.832 </w:t>
            </w:r>
          </w:p>
        </w:tc>
        <w:tc>
          <w:tcPr>
            <w:tcW w:w="1457" w:type="dxa"/>
            <w:tcBorders>
              <w:top w:val="nil"/>
              <w:left w:val="nil"/>
              <w:bottom w:val="single" w:sz="4" w:space="0" w:color="auto"/>
              <w:right w:val="single" w:sz="4" w:space="0" w:color="auto"/>
            </w:tcBorders>
            <w:shd w:val="clear" w:color="000000" w:fill="FFFFFF"/>
            <w:hideMark/>
          </w:tcPr>
          <w:p w14:paraId="49134ACD" w14:textId="77777777" w:rsidR="00431B9C" w:rsidRPr="00054520" w:rsidRDefault="00431B9C" w:rsidP="0049320F">
            <w:pPr>
              <w:autoSpaceDE/>
              <w:autoSpaceDN/>
              <w:adjustRightInd/>
              <w:spacing w:after="0"/>
              <w:rPr>
                <w:rFonts w:eastAsia="Times New Roman" w:cs="Arial"/>
                <w:sz w:val="20"/>
                <w:szCs w:val="20"/>
                <w:lang w:eastAsia="en-GB"/>
              </w:rPr>
            </w:pPr>
            <w:r>
              <w:rPr>
                <w:rFonts w:cs="Arial"/>
                <w:sz w:val="20"/>
                <w:szCs w:val="20"/>
              </w:rPr>
              <w:t xml:space="preserve">4.643 </w:t>
            </w:r>
          </w:p>
        </w:tc>
        <w:tc>
          <w:tcPr>
            <w:tcW w:w="1457" w:type="dxa"/>
            <w:tcBorders>
              <w:top w:val="nil"/>
              <w:left w:val="nil"/>
              <w:bottom w:val="single" w:sz="4" w:space="0" w:color="auto"/>
              <w:right w:val="single" w:sz="4" w:space="0" w:color="auto"/>
            </w:tcBorders>
            <w:shd w:val="clear" w:color="000000" w:fill="FFFFFF"/>
            <w:hideMark/>
          </w:tcPr>
          <w:p w14:paraId="04297657" w14:textId="77777777" w:rsidR="00431B9C" w:rsidRPr="00054520" w:rsidRDefault="00431B9C" w:rsidP="0049320F">
            <w:pPr>
              <w:autoSpaceDE/>
              <w:autoSpaceDN/>
              <w:adjustRightInd/>
              <w:spacing w:after="0"/>
              <w:rPr>
                <w:rFonts w:eastAsia="Times New Roman" w:cs="Arial"/>
                <w:sz w:val="20"/>
                <w:szCs w:val="20"/>
                <w:lang w:eastAsia="en-GB"/>
              </w:rPr>
            </w:pPr>
            <w:r>
              <w:rPr>
                <w:rFonts w:cs="Arial"/>
                <w:sz w:val="20"/>
                <w:szCs w:val="20"/>
              </w:rPr>
              <w:t xml:space="preserve">-0.189 </w:t>
            </w:r>
          </w:p>
        </w:tc>
      </w:tr>
      <w:tr w:rsidR="00431B9C" w:rsidRPr="00054520" w14:paraId="5EE2A4E4" w14:textId="77777777" w:rsidTr="00431B9C">
        <w:trPr>
          <w:trHeight w:val="544"/>
        </w:trPr>
        <w:tc>
          <w:tcPr>
            <w:tcW w:w="782" w:type="dxa"/>
            <w:tcBorders>
              <w:top w:val="nil"/>
              <w:left w:val="single" w:sz="4" w:space="0" w:color="auto"/>
              <w:bottom w:val="single" w:sz="4" w:space="0" w:color="auto"/>
              <w:right w:val="single" w:sz="4" w:space="0" w:color="auto"/>
            </w:tcBorders>
            <w:shd w:val="clear" w:color="000000" w:fill="FFFFFF"/>
            <w:noWrap/>
            <w:hideMark/>
          </w:tcPr>
          <w:p w14:paraId="2E5D1ABC" w14:textId="08E938FB" w:rsidR="00431B9C" w:rsidRPr="00054520" w:rsidRDefault="00622590" w:rsidP="0049320F">
            <w:pPr>
              <w:autoSpaceDE/>
              <w:autoSpaceDN/>
              <w:adjustRightInd/>
              <w:spacing w:after="0"/>
              <w:rPr>
                <w:rFonts w:eastAsia="Times New Roman" w:cs="Arial"/>
                <w:b/>
                <w:bCs/>
                <w:sz w:val="20"/>
                <w:szCs w:val="20"/>
                <w:lang w:eastAsia="en-GB"/>
              </w:rPr>
            </w:pPr>
            <w:r>
              <w:rPr>
                <w:rFonts w:eastAsia="Times New Roman" w:cs="Arial"/>
                <w:b/>
                <w:bCs/>
                <w:sz w:val="20"/>
                <w:szCs w:val="20"/>
                <w:lang w:eastAsia="en-GB"/>
              </w:rPr>
              <w:t>3.4</w:t>
            </w:r>
            <w:r w:rsidR="00431B9C" w:rsidRPr="00054520">
              <w:rPr>
                <w:rFonts w:eastAsia="Times New Roman" w:cs="Arial"/>
                <w:b/>
                <w:bCs/>
                <w:sz w:val="20"/>
                <w:szCs w:val="20"/>
                <w:lang w:eastAsia="en-GB"/>
              </w:rPr>
              <w:t>.3</w:t>
            </w:r>
          </w:p>
        </w:tc>
        <w:tc>
          <w:tcPr>
            <w:tcW w:w="3980" w:type="dxa"/>
            <w:tcBorders>
              <w:top w:val="nil"/>
              <w:left w:val="nil"/>
              <w:bottom w:val="single" w:sz="4" w:space="0" w:color="auto"/>
              <w:right w:val="single" w:sz="4" w:space="0" w:color="auto"/>
            </w:tcBorders>
            <w:shd w:val="clear" w:color="000000" w:fill="FFFFFF"/>
            <w:hideMark/>
          </w:tcPr>
          <w:p w14:paraId="44D776A3" w14:textId="77777777" w:rsidR="00431B9C" w:rsidRPr="00054520" w:rsidRDefault="00431B9C" w:rsidP="00F33AA4">
            <w:pPr>
              <w:autoSpaceDE/>
              <w:autoSpaceDN/>
              <w:adjustRightInd/>
              <w:spacing w:after="0"/>
              <w:jc w:val="left"/>
              <w:rPr>
                <w:rFonts w:eastAsia="Times New Roman" w:cs="Arial"/>
                <w:sz w:val="20"/>
                <w:szCs w:val="20"/>
                <w:lang w:eastAsia="en-GB"/>
              </w:rPr>
            </w:pPr>
            <w:r>
              <w:rPr>
                <w:rFonts w:cs="Arial"/>
                <w:sz w:val="20"/>
                <w:szCs w:val="20"/>
              </w:rPr>
              <w:t>HEALTH EQUITY WELFARE &amp; PARTNERSHIPS</w:t>
            </w:r>
          </w:p>
        </w:tc>
        <w:tc>
          <w:tcPr>
            <w:tcW w:w="1457" w:type="dxa"/>
            <w:tcBorders>
              <w:top w:val="nil"/>
              <w:left w:val="nil"/>
              <w:bottom w:val="single" w:sz="4" w:space="0" w:color="auto"/>
              <w:right w:val="single" w:sz="4" w:space="0" w:color="auto"/>
            </w:tcBorders>
            <w:shd w:val="clear" w:color="000000" w:fill="FFFFFF"/>
            <w:hideMark/>
          </w:tcPr>
          <w:p w14:paraId="18EF2AFA" w14:textId="77777777" w:rsidR="00431B9C" w:rsidRPr="00054520" w:rsidRDefault="00431B9C" w:rsidP="0049320F">
            <w:pPr>
              <w:autoSpaceDE/>
              <w:autoSpaceDN/>
              <w:adjustRightInd/>
              <w:spacing w:after="0"/>
              <w:rPr>
                <w:rFonts w:eastAsia="Times New Roman" w:cs="Arial"/>
                <w:sz w:val="20"/>
                <w:szCs w:val="20"/>
                <w:lang w:eastAsia="en-GB"/>
              </w:rPr>
            </w:pPr>
            <w:r>
              <w:rPr>
                <w:rFonts w:cs="Arial"/>
                <w:sz w:val="20"/>
                <w:szCs w:val="20"/>
              </w:rPr>
              <w:t xml:space="preserve">9.399 </w:t>
            </w:r>
          </w:p>
        </w:tc>
        <w:tc>
          <w:tcPr>
            <w:tcW w:w="1457" w:type="dxa"/>
            <w:tcBorders>
              <w:top w:val="nil"/>
              <w:left w:val="nil"/>
              <w:bottom w:val="single" w:sz="4" w:space="0" w:color="auto"/>
              <w:right w:val="single" w:sz="4" w:space="0" w:color="auto"/>
            </w:tcBorders>
            <w:shd w:val="clear" w:color="000000" w:fill="FFFFFF"/>
            <w:hideMark/>
          </w:tcPr>
          <w:p w14:paraId="2A50718B" w14:textId="77777777" w:rsidR="00431B9C" w:rsidRPr="00054520" w:rsidRDefault="00431B9C" w:rsidP="0049320F">
            <w:pPr>
              <w:autoSpaceDE/>
              <w:autoSpaceDN/>
              <w:adjustRightInd/>
              <w:spacing w:after="0"/>
              <w:rPr>
                <w:rFonts w:eastAsia="Times New Roman" w:cs="Arial"/>
                <w:sz w:val="20"/>
                <w:szCs w:val="20"/>
                <w:lang w:eastAsia="en-GB"/>
              </w:rPr>
            </w:pPr>
            <w:r>
              <w:rPr>
                <w:rFonts w:cs="Arial"/>
                <w:sz w:val="20"/>
                <w:szCs w:val="20"/>
              </w:rPr>
              <w:t xml:space="preserve">9.399 </w:t>
            </w:r>
          </w:p>
        </w:tc>
        <w:tc>
          <w:tcPr>
            <w:tcW w:w="1457" w:type="dxa"/>
            <w:tcBorders>
              <w:top w:val="nil"/>
              <w:left w:val="nil"/>
              <w:bottom w:val="single" w:sz="4" w:space="0" w:color="auto"/>
              <w:right w:val="single" w:sz="4" w:space="0" w:color="auto"/>
            </w:tcBorders>
            <w:shd w:val="clear" w:color="000000" w:fill="FFFFFF"/>
            <w:hideMark/>
          </w:tcPr>
          <w:p w14:paraId="6B20A83A" w14:textId="77777777" w:rsidR="00431B9C" w:rsidRPr="00054520" w:rsidRDefault="00431B9C" w:rsidP="0049320F">
            <w:pPr>
              <w:autoSpaceDE/>
              <w:autoSpaceDN/>
              <w:adjustRightInd/>
              <w:spacing w:after="0"/>
              <w:rPr>
                <w:rFonts w:eastAsia="Times New Roman" w:cs="Arial"/>
                <w:sz w:val="20"/>
                <w:szCs w:val="20"/>
                <w:lang w:eastAsia="en-GB"/>
              </w:rPr>
            </w:pPr>
            <w:r>
              <w:rPr>
                <w:rFonts w:cs="Arial"/>
                <w:sz w:val="20"/>
                <w:szCs w:val="20"/>
              </w:rPr>
              <w:t xml:space="preserve">0.000 </w:t>
            </w:r>
          </w:p>
        </w:tc>
      </w:tr>
      <w:tr w:rsidR="00431B9C" w:rsidRPr="00054520" w14:paraId="323818FA" w14:textId="77777777" w:rsidTr="00431B9C">
        <w:trPr>
          <w:trHeight w:val="544"/>
        </w:trPr>
        <w:tc>
          <w:tcPr>
            <w:tcW w:w="782" w:type="dxa"/>
            <w:tcBorders>
              <w:top w:val="nil"/>
              <w:left w:val="single" w:sz="4" w:space="0" w:color="auto"/>
              <w:bottom w:val="single" w:sz="4" w:space="0" w:color="auto"/>
              <w:right w:val="single" w:sz="4" w:space="0" w:color="auto"/>
            </w:tcBorders>
            <w:shd w:val="clear" w:color="000000" w:fill="FFFFFF"/>
            <w:noWrap/>
            <w:hideMark/>
          </w:tcPr>
          <w:p w14:paraId="37DCA75B" w14:textId="6752801F" w:rsidR="00431B9C" w:rsidRPr="00054520" w:rsidRDefault="00622590" w:rsidP="0049320F">
            <w:pPr>
              <w:autoSpaceDE/>
              <w:autoSpaceDN/>
              <w:adjustRightInd/>
              <w:spacing w:after="0"/>
              <w:rPr>
                <w:rFonts w:eastAsia="Times New Roman" w:cs="Arial"/>
                <w:b/>
                <w:bCs/>
                <w:sz w:val="20"/>
                <w:szCs w:val="20"/>
                <w:lang w:eastAsia="en-GB"/>
              </w:rPr>
            </w:pPr>
            <w:r>
              <w:rPr>
                <w:rFonts w:eastAsia="Times New Roman" w:cs="Arial"/>
                <w:b/>
                <w:bCs/>
                <w:sz w:val="20"/>
                <w:szCs w:val="20"/>
                <w:lang w:eastAsia="en-GB"/>
              </w:rPr>
              <w:t>3.4</w:t>
            </w:r>
            <w:r w:rsidR="00431B9C" w:rsidRPr="00054520">
              <w:rPr>
                <w:rFonts w:eastAsia="Times New Roman" w:cs="Arial"/>
                <w:b/>
                <w:bCs/>
                <w:sz w:val="20"/>
                <w:szCs w:val="20"/>
                <w:lang w:eastAsia="en-GB"/>
              </w:rPr>
              <w:t>.4</w:t>
            </w:r>
          </w:p>
        </w:tc>
        <w:tc>
          <w:tcPr>
            <w:tcW w:w="3980" w:type="dxa"/>
            <w:tcBorders>
              <w:top w:val="nil"/>
              <w:left w:val="nil"/>
              <w:bottom w:val="single" w:sz="4" w:space="0" w:color="auto"/>
              <w:right w:val="single" w:sz="4" w:space="0" w:color="auto"/>
            </w:tcBorders>
            <w:shd w:val="clear" w:color="000000" w:fill="FFFFFF"/>
            <w:hideMark/>
          </w:tcPr>
          <w:p w14:paraId="270D1072" w14:textId="77777777" w:rsidR="00431B9C" w:rsidRPr="00054520" w:rsidRDefault="00431B9C" w:rsidP="00F33AA4">
            <w:pPr>
              <w:autoSpaceDE/>
              <w:autoSpaceDN/>
              <w:adjustRightInd/>
              <w:spacing w:after="0"/>
              <w:jc w:val="left"/>
              <w:rPr>
                <w:rFonts w:eastAsia="Times New Roman" w:cs="Arial"/>
                <w:sz w:val="20"/>
                <w:szCs w:val="20"/>
                <w:lang w:eastAsia="en-GB"/>
              </w:rPr>
            </w:pPr>
            <w:r>
              <w:rPr>
                <w:rFonts w:cs="Arial"/>
                <w:sz w:val="20"/>
                <w:szCs w:val="20"/>
              </w:rPr>
              <w:t>WELLBEING PREVENTION &amp; EARLY HELP</w:t>
            </w:r>
          </w:p>
        </w:tc>
        <w:tc>
          <w:tcPr>
            <w:tcW w:w="1457" w:type="dxa"/>
            <w:tcBorders>
              <w:top w:val="nil"/>
              <w:left w:val="nil"/>
              <w:bottom w:val="single" w:sz="4" w:space="0" w:color="auto"/>
              <w:right w:val="single" w:sz="4" w:space="0" w:color="auto"/>
            </w:tcBorders>
            <w:shd w:val="clear" w:color="000000" w:fill="FFFFFF"/>
            <w:hideMark/>
          </w:tcPr>
          <w:p w14:paraId="3B3CBCB5" w14:textId="77777777" w:rsidR="00431B9C" w:rsidRPr="00054520" w:rsidRDefault="00431B9C" w:rsidP="0049320F">
            <w:pPr>
              <w:autoSpaceDE/>
              <w:autoSpaceDN/>
              <w:adjustRightInd/>
              <w:spacing w:after="0"/>
              <w:rPr>
                <w:rFonts w:eastAsia="Times New Roman" w:cs="Arial"/>
                <w:sz w:val="20"/>
                <w:szCs w:val="20"/>
                <w:lang w:eastAsia="en-GB"/>
              </w:rPr>
            </w:pPr>
            <w:r>
              <w:rPr>
                <w:rFonts w:cs="Arial"/>
                <w:sz w:val="20"/>
                <w:szCs w:val="20"/>
              </w:rPr>
              <w:t xml:space="preserve">83.879 </w:t>
            </w:r>
          </w:p>
        </w:tc>
        <w:tc>
          <w:tcPr>
            <w:tcW w:w="1457" w:type="dxa"/>
            <w:tcBorders>
              <w:top w:val="nil"/>
              <w:left w:val="nil"/>
              <w:bottom w:val="single" w:sz="4" w:space="0" w:color="auto"/>
              <w:right w:val="single" w:sz="4" w:space="0" w:color="auto"/>
            </w:tcBorders>
            <w:shd w:val="clear" w:color="000000" w:fill="FFFFFF"/>
            <w:hideMark/>
          </w:tcPr>
          <w:p w14:paraId="242036AF" w14:textId="77777777" w:rsidR="00431B9C" w:rsidRPr="00054520" w:rsidRDefault="00431B9C" w:rsidP="0049320F">
            <w:pPr>
              <w:autoSpaceDE/>
              <w:autoSpaceDN/>
              <w:adjustRightInd/>
              <w:spacing w:after="0"/>
              <w:rPr>
                <w:rFonts w:eastAsia="Times New Roman" w:cs="Arial"/>
                <w:sz w:val="20"/>
                <w:szCs w:val="20"/>
                <w:lang w:eastAsia="en-GB"/>
              </w:rPr>
            </w:pPr>
            <w:r>
              <w:rPr>
                <w:rFonts w:cs="Arial"/>
                <w:sz w:val="20"/>
                <w:szCs w:val="20"/>
              </w:rPr>
              <w:t xml:space="preserve">84.553 </w:t>
            </w:r>
          </w:p>
        </w:tc>
        <w:tc>
          <w:tcPr>
            <w:tcW w:w="1457" w:type="dxa"/>
            <w:tcBorders>
              <w:top w:val="nil"/>
              <w:left w:val="nil"/>
              <w:bottom w:val="single" w:sz="4" w:space="0" w:color="auto"/>
              <w:right w:val="single" w:sz="4" w:space="0" w:color="auto"/>
            </w:tcBorders>
            <w:shd w:val="clear" w:color="000000" w:fill="FFFFFF"/>
            <w:hideMark/>
          </w:tcPr>
          <w:p w14:paraId="02DEA3A1" w14:textId="77777777" w:rsidR="00431B9C" w:rsidRPr="00054520" w:rsidRDefault="00431B9C" w:rsidP="0049320F">
            <w:pPr>
              <w:autoSpaceDE/>
              <w:autoSpaceDN/>
              <w:adjustRightInd/>
              <w:spacing w:after="0"/>
              <w:rPr>
                <w:rFonts w:eastAsia="Times New Roman" w:cs="Arial"/>
                <w:sz w:val="20"/>
                <w:szCs w:val="20"/>
                <w:lang w:eastAsia="en-GB"/>
              </w:rPr>
            </w:pPr>
            <w:r>
              <w:rPr>
                <w:rFonts w:cs="Arial"/>
                <w:sz w:val="20"/>
                <w:szCs w:val="20"/>
              </w:rPr>
              <w:t xml:space="preserve">0.673 </w:t>
            </w:r>
          </w:p>
        </w:tc>
      </w:tr>
      <w:tr w:rsidR="00431B9C" w:rsidRPr="00054520" w14:paraId="7D926D87" w14:textId="77777777" w:rsidTr="00431B9C">
        <w:trPr>
          <w:trHeight w:val="544"/>
        </w:trPr>
        <w:tc>
          <w:tcPr>
            <w:tcW w:w="782" w:type="dxa"/>
            <w:tcBorders>
              <w:top w:val="nil"/>
              <w:left w:val="single" w:sz="4" w:space="0" w:color="auto"/>
              <w:bottom w:val="single" w:sz="4" w:space="0" w:color="auto"/>
              <w:right w:val="single" w:sz="4" w:space="0" w:color="auto"/>
            </w:tcBorders>
            <w:shd w:val="clear" w:color="000000" w:fill="FFFFFF"/>
            <w:noWrap/>
            <w:hideMark/>
          </w:tcPr>
          <w:p w14:paraId="2D22FF39" w14:textId="15636DE4" w:rsidR="00431B9C" w:rsidRPr="00054520" w:rsidRDefault="00622590" w:rsidP="0049320F">
            <w:pPr>
              <w:autoSpaceDE/>
              <w:autoSpaceDN/>
              <w:adjustRightInd/>
              <w:spacing w:after="0"/>
              <w:rPr>
                <w:rFonts w:eastAsia="Times New Roman" w:cs="Arial"/>
                <w:b/>
                <w:bCs/>
                <w:sz w:val="20"/>
                <w:szCs w:val="20"/>
                <w:lang w:eastAsia="en-GB"/>
              </w:rPr>
            </w:pPr>
            <w:r>
              <w:rPr>
                <w:rFonts w:eastAsia="Times New Roman" w:cs="Arial"/>
                <w:b/>
                <w:bCs/>
                <w:sz w:val="20"/>
                <w:szCs w:val="20"/>
                <w:lang w:eastAsia="en-GB"/>
              </w:rPr>
              <w:t>3.4</w:t>
            </w:r>
            <w:r w:rsidR="00431B9C" w:rsidRPr="00054520">
              <w:rPr>
                <w:rFonts w:eastAsia="Times New Roman" w:cs="Arial"/>
                <w:b/>
                <w:bCs/>
                <w:sz w:val="20"/>
                <w:szCs w:val="20"/>
                <w:lang w:eastAsia="en-GB"/>
              </w:rPr>
              <w:t>.5</w:t>
            </w:r>
          </w:p>
        </w:tc>
        <w:tc>
          <w:tcPr>
            <w:tcW w:w="3980" w:type="dxa"/>
            <w:tcBorders>
              <w:top w:val="nil"/>
              <w:left w:val="nil"/>
              <w:bottom w:val="single" w:sz="4" w:space="0" w:color="auto"/>
              <w:right w:val="single" w:sz="4" w:space="0" w:color="auto"/>
            </w:tcBorders>
            <w:shd w:val="clear" w:color="000000" w:fill="FFFFFF"/>
            <w:hideMark/>
          </w:tcPr>
          <w:p w14:paraId="32A5F45E" w14:textId="77777777" w:rsidR="00431B9C" w:rsidRPr="00054520" w:rsidRDefault="00431B9C" w:rsidP="00F33AA4">
            <w:pPr>
              <w:autoSpaceDE/>
              <w:autoSpaceDN/>
              <w:adjustRightInd/>
              <w:spacing w:after="0"/>
              <w:jc w:val="left"/>
              <w:rPr>
                <w:rFonts w:eastAsia="Times New Roman" w:cs="Arial"/>
                <w:sz w:val="20"/>
                <w:szCs w:val="20"/>
                <w:lang w:eastAsia="en-GB"/>
              </w:rPr>
            </w:pPr>
            <w:r>
              <w:rPr>
                <w:rFonts w:cs="Arial"/>
                <w:sz w:val="20"/>
                <w:szCs w:val="20"/>
              </w:rPr>
              <w:t>EMERGENCY PLANNING &amp; RESILIENCE</w:t>
            </w:r>
          </w:p>
        </w:tc>
        <w:tc>
          <w:tcPr>
            <w:tcW w:w="1457" w:type="dxa"/>
            <w:tcBorders>
              <w:top w:val="nil"/>
              <w:left w:val="nil"/>
              <w:bottom w:val="single" w:sz="4" w:space="0" w:color="auto"/>
              <w:right w:val="single" w:sz="4" w:space="0" w:color="auto"/>
            </w:tcBorders>
            <w:shd w:val="clear" w:color="000000" w:fill="FFFFFF"/>
            <w:hideMark/>
          </w:tcPr>
          <w:p w14:paraId="239C78A4" w14:textId="77777777" w:rsidR="00431B9C" w:rsidRPr="00054520" w:rsidRDefault="00431B9C" w:rsidP="0049320F">
            <w:pPr>
              <w:autoSpaceDE/>
              <w:autoSpaceDN/>
              <w:adjustRightInd/>
              <w:spacing w:after="0"/>
              <w:rPr>
                <w:rFonts w:eastAsia="Times New Roman" w:cs="Arial"/>
                <w:sz w:val="20"/>
                <w:szCs w:val="20"/>
                <w:lang w:eastAsia="en-GB"/>
              </w:rPr>
            </w:pPr>
            <w:r>
              <w:rPr>
                <w:rFonts w:cs="Arial"/>
                <w:sz w:val="20"/>
                <w:szCs w:val="20"/>
              </w:rPr>
              <w:t xml:space="preserve">0.999 </w:t>
            </w:r>
          </w:p>
        </w:tc>
        <w:tc>
          <w:tcPr>
            <w:tcW w:w="1457" w:type="dxa"/>
            <w:tcBorders>
              <w:top w:val="nil"/>
              <w:left w:val="nil"/>
              <w:bottom w:val="single" w:sz="4" w:space="0" w:color="auto"/>
              <w:right w:val="single" w:sz="4" w:space="0" w:color="auto"/>
            </w:tcBorders>
            <w:shd w:val="clear" w:color="000000" w:fill="FFFFFF"/>
            <w:hideMark/>
          </w:tcPr>
          <w:p w14:paraId="44CCF1C9" w14:textId="77777777" w:rsidR="00431B9C" w:rsidRPr="00054520" w:rsidRDefault="00431B9C" w:rsidP="0049320F">
            <w:pPr>
              <w:autoSpaceDE/>
              <w:autoSpaceDN/>
              <w:adjustRightInd/>
              <w:spacing w:after="0"/>
              <w:rPr>
                <w:rFonts w:eastAsia="Times New Roman" w:cs="Arial"/>
                <w:sz w:val="20"/>
                <w:szCs w:val="20"/>
                <w:lang w:eastAsia="en-GB"/>
              </w:rPr>
            </w:pPr>
            <w:r>
              <w:rPr>
                <w:rFonts w:cs="Arial"/>
                <w:sz w:val="20"/>
                <w:szCs w:val="20"/>
              </w:rPr>
              <w:t xml:space="preserve">0.466 </w:t>
            </w:r>
          </w:p>
        </w:tc>
        <w:tc>
          <w:tcPr>
            <w:tcW w:w="1457" w:type="dxa"/>
            <w:tcBorders>
              <w:top w:val="nil"/>
              <w:left w:val="nil"/>
              <w:bottom w:val="single" w:sz="4" w:space="0" w:color="auto"/>
              <w:right w:val="single" w:sz="4" w:space="0" w:color="auto"/>
            </w:tcBorders>
            <w:shd w:val="clear" w:color="000000" w:fill="FFFFFF"/>
            <w:hideMark/>
          </w:tcPr>
          <w:p w14:paraId="05648D6E" w14:textId="77777777" w:rsidR="00431B9C" w:rsidRPr="00054520" w:rsidRDefault="00431B9C" w:rsidP="0049320F">
            <w:pPr>
              <w:autoSpaceDE/>
              <w:autoSpaceDN/>
              <w:adjustRightInd/>
              <w:spacing w:after="0"/>
              <w:rPr>
                <w:rFonts w:eastAsia="Times New Roman" w:cs="Arial"/>
                <w:sz w:val="20"/>
                <w:szCs w:val="20"/>
                <w:lang w:eastAsia="en-GB"/>
              </w:rPr>
            </w:pPr>
            <w:r>
              <w:rPr>
                <w:rFonts w:cs="Arial"/>
                <w:sz w:val="20"/>
                <w:szCs w:val="20"/>
              </w:rPr>
              <w:t xml:space="preserve">-0.533 </w:t>
            </w:r>
          </w:p>
        </w:tc>
      </w:tr>
      <w:tr w:rsidR="00431B9C" w:rsidRPr="00054520" w14:paraId="1681AEAC" w14:textId="77777777" w:rsidTr="00431B9C">
        <w:trPr>
          <w:trHeight w:val="544"/>
        </w:trPr>
        <w:tc>
          <w:tcPr>
            <w:tcW w:w="782" w:type="dxa"/>
            <w:tcBorders>
              <w:top w:val="nil"/>
              <w:left w:val="single" w:sz="4" w:space="0" w:color="auto"/>
              <w:bottom w:val="single" w:sz="4" w:space="0" w:color="auto"/>
              <w:right w:val="single" w:sz="4" w:space="0" w:color="auto"/>
            </w:tcBorders>
            <w:shd w:val="clear" w:color="000000" w:fill="FFFFFF"/>
            <w:noWrap/>
            <w:hideMark/>
          </w:tcPr>
          <w:p w14:paraId="7580D990" w14:textId="770CAC73" w:rsidR="00431B9C" w:rsidRPr="00054520" w:rsidRDefault="00431B9C" w:rsidP="0049320F">
            <w:pPr>
              <w:autoSpaceDE/>
              <w:autoSpaceDN/>
              <w:adjustRightInd/>
              <w:spacing w:after="0"/>
              <w:rPr>
                <w:rFonts w:eastAsia="Times New Roman" w:cs="Arial"/>
                <w:b/>
                <w:bCs/>
                <w:sz w:val="20"/>
                <w:szCs w:val="20"/>
                <w:lang w:eastAsia="en-GB"/>
              </w:rPr>
            </w:pPr>
            <w:r w:rsidRPr="00054520">
              <w:rPr>
                <w:rFonts w:eastAsia="Times New Roman" w:cs="Arial"/>
                <w:b/>
                <w:bCs/>
                <w:sz w:val="20"/>
                <w:szCs w:val="20"/>
                <w:lang w:eastAsia="en-GB"/>
              </w:rPr>
              <w:t>3.</w:t>
            </w:r>
            <w:r w:rsidR="00622590">
              <w:rPr>
                <w:rFonts w:eastAsia="Times New Roman" w:cs="Arial"/>
                <w:b/>
                <w:bCs/>
                <w:sz w:val="20"/>
                <w:szCs w:val="20"/>
                <w:lang w:eastAsia="en-GB"/>
              </w:rPr>
              <w:t>4</w:t>
            </w:r>
            <w:r w:rsidRPr="00054520">
              <w:rPr>
                <w:rFonts w:eastAsia="Times New Roman" w:cs="Arial"/>
                <w:b/>
                <w:bCs/>
                <w:sz w:val="20"/>
                <w:szCs w:val="20"/>
                <w:lang w:eastAsia="en-GB"/>
              </w:rPr>
              <w:t>.6</w:t>
            </w:r>
          </w:p>
        </w:tc>
        <w:tc>
          <w:tcPr>
            <w:tcW w:w="3980" w:type="dxa"/>
            <w:tcBorders>
              <w:top w:val="nil"/>
              <w:left w:val="nil"/>
              <w:bottom w:val="single" w:sz="4" w:space="0" w:color="auto"/>
              <w:right w:val="single" w:sz="4" w:space="0" w:color="auto"/>
            </w:tcBorders>
            <w:shd w:val="clear" w:color="000000" w:fill="FFFFFF"/>
            <w:hideMark/>
          </w:tcPr>
          <w:p w14:paraId="6B275D86" w14:textId="77777777" w:rsidR="00431B9C" w:rsidRPr="00054520" w:rsidRDefault="00431B9C" w:rsidP="00F33AA4">
            <w:pPr>
              <w:autoSpaceDE/>
              <w:autoSpaceDN/>
              <w:adjustRightInd/>
              <w:spacing w:after="0"/>
              <w:jc w:val="left"/>
              <w:rPr>
                <w:rFonts w:eastAsia="Times New Roman" w:cs="Arial"/>
                <w:sz w:val="20"/>
                <w:szCs w:val="20"/>
                <w:lang w:eastAsia="en-GB"/>
              </w:rPr>
            </w:pPr>
            <w:r>
              <w:rPr>
                <w:rFonts w:cs="Arial"/>
                <w:sz w:val="20"/>
                <w:szCs w:val="20"/>
              </w:rPr>
              <w:t>TRADING STANDARDS &amp; SCIENTIFIC SERVICES</w:t>
            </w:r>
          </w:p>
        </w:tc>
        <w:tc>
          <w:tcPr>
            <w:tcW w:w="1457" w:type="dxa"/>
            <w:tcBorders>
              <w:top w:val="nil"/>
              <w:left w:val="nil"/>
              <w:bottom w:val="single" w:sz="4" w:space="0" w:color="auto"/>
              <w:right w:val="single" w:sz="4" w:space="0" w:color="auto"/>
            </w:tcBorders>
            <w:shd w:val="clear" w:color="000000" w:fill="FFFFFF"/>
            <w:hideMark/>
          </w:tcPr>
          <w:p w14:paraId="603BD364" w14:textId="77777777" w:rsidR="00431B9C" w:rsidRPr="00054520" w:rsidRDefault="00431B9C" w:rsidP="0049320F">
            <w:pPr>
              <w:autoSpaceDE/>
              <w:autoSpaceDN/>
              <w:adjustRightInd/>
              <w:spacing w:after="0"/>
              <w:rPr>
                <w:rFonts w:eastAsia="Times New Roman" w:cs="Arial"/>
                <w:sz w:val="20"/>
                <w:szCs w:val="20"/>
                <w:lang w:eastAsia="en-GB"/>
              </w:rPr>
            </w:pPr>
            <w:r>
              <w:rPr>
                <w:rFonts w:cs="Arial"/>
                <w:sz w:val="20"/>
                <w:szCs w:val="20"/>
              </w:rPr>
              <w:t xml:space="preserve">2.978 </w:t>
            </w:r>
          </w:p>
        </w:tc>
        <w:tc>
          <w:tcPr>
            <w:tcW w:w="1457" w:type="dxa"/>
            <w:tcBorders>
              <w:top w:val="nil"/>
              <w:left w:val="nil"/>
              <w:bottom w:val="single" w:sz="4" w:space="0" w:color="auto"/>
              <w:right w:val="single" w:sz="4" w:space="0" w:color="auto"/>
            </w:tcBorders>
            <w:shd w:val="clear" w:color="000000" w:fill="FFFFFF"/>
            <w:hideMark/>
          </w:tcPr>
          <w:p w14:paraId="72298AF4" w14:textId="77777777" w:rsidR="00431B9C" w:rsidRPr="00054520" w:rsidRDefault="00431B9C" w:rsidP="0049320F">
            <w:pPr>
              <w:autoSpaceDE/>
              <w:autoSpaceDN/>
              <w:adjustRightInd/>
              <w:spacing w:after="0"/>
              <w:rPr>
                <w:rFonts w:eastAsia="Times New Roman" w:cs="Arial"/>
                <w:sz w:val="20"/>
                <w:szCs w:val="20"/>
                <w:lang w:eastAsia="en-GB"/>
              </w:rPr>
            </w:pPr>
            <w:r>
              <w:rPr>
                <w:rFonts w:cs="Arial"/>
                <w:sz w:val="20"/>
                <w:szCs w:val="20"/>
              </w:rPr>
              <w:t xml:space="preserve">3.077 </w:t>
            </w:r>
          </w:p>
        </w:tc>
        <w:tc>
          <w:tcPr>
            <w:tcW w:w="1457" w:type="dxa"/>
            <w:tcBorders>
              <w:top w:val="nil"/>
              <w:left w:val="nil"/>
              <w:bottom w:val="single" w:sz="4" w:space="0" w:color="auto"/>
              <w:right w:val="single" w:sz="4" w:space="0" w:color="auto"/>
            </w:tcBorders>
            <w:shd w:val="clear" w:color="000000" w:fill="FFFFFF"/>
            <w:hideMark/>
          </w:tcPr>
          <w:p w14:paraId="3EC4947F" w14:textId="77777777" w:rsidR="00431B9C" w:rsidRPr="00054520" w:rsidRDefault="00431B9C" w:rsidP="0049320F">
            <w:pPr>
              <w:autoSpaceDE/>
              <w:autoSpaceDN/>
              <w:adjustRightInd/>
              <w:spacing w:after="0"/>
              <w:rPr>
                <w:rFonts w:eastAsia="Times New Roman" w:cs="Arial"/>
                <w:sz w:val="20"/>
                <w:szCs w:val="20"/>
                <w:lang w:eastAsia="en-GB"/>
              </w:rPr>
            </w:pPr>
            <w:r>
              <w:rPr>
                <w:rFonts w:cs="Arial"/>
                <w:sz w:val="20"/>
                <w:szCs w:val="20"/>
              </w:rPr>
              <w:t xml:space="preserve">0.099 </w:t>
            </w:r>
          </w:p>
        </w:tc>
      </w:tr>
      <w:tr w:rsidR="00431B9C" w:rsidRPr="00054520" w14:paraId="6DA06F93" w14:textId="77777777" w:rsidTr="00431B9C">
        <w:trPr>
          <w:trHeight w:val="544"/>
        </w:trPr>
        <w:tc>
          <w:tcPr>
            <w:tcW w:w="782" w:type="dxa"/>
            <w:tcBorders>
              <w:top w:val="nil"/>
              <w:left w:val="single" w:sz="4" w:space="0" w:color="auto"/>
              <w:bottom w:val="single" w:sz="4" w:space="0" w:color="auto"/>
              <w:right w:val="single" w:sz="4" w:space="0" w:color="auto"/>
            </w:tcBorders>
            <w:shd w:val="clear" w:color="000000" w:fill="FFFFFF"/>
            <w:noWrap/>
            <w:hideMark/>
          </w:tcPr>
          <w:p w14:paraId="0816AA7E" w14:textId="1B3D9A28" w:rsidR="00431B9C" w:rsidRPr="00054520" w:rsidRDefault="00622590" w:rsidP="0049320F">
            <w:pPr>
              <w:autoSpaceDE/>
              <w:autoSpaceDN/>
              <w:adjustRightInd/>
              <w:spacing w:after="0"/>
              <w:rPr>
                <w:rFonts w:eastAsia="Times New Roman" w:cs="Arial"/>
                <w:b/>
                <w:bCs/>
                <w:sz w:val="20"/>
                <w:szCs w:val="20"/>
                <w:lang w:eastAsia="en-GB"/>
              </w:rPr>
            </w:pPr>
            <w:r>
              <w:rPr>
                <w:rFonts w:eastAsia="Times New Roman" w:cs="Arial"/>
                <w:b/>
                <w:bCs/>
                <w:sz w:val="20"/>
                <w:szCs w:val="20"/>
                <w:lang w:eastAsia="en-GB"/>
              </w:rPr>
              <w:t>3.4</w:t>
            </w:r>
            <w:r w:rsidR="00431B9C" w:rsidRPr="00054520">
              <w:rPr>
                <w:rFonts w:eastAsia="Times New Roman" w:cs="Arial"/>
                <w:b/>
                <w:bCs/>
                <w:sz w:val="20"/>
                <w:szCs w:val="20"/>
                <w:lang w:eastAsia="en-GB"/>
              </w:rPr>
              <w:t>.7</w:t>
            </w:r>
          </w:p>
        </w:tc>
        <w:tc>
          <w:tcPr>
            <w:tcW w:w="3980" w:type="dxa"/>
            <w:tcBorders>
              <w:top w:val="nil"/>
              <w:left w:val="nil"/>
              <w:bottom w:val="single" w:sz="4" w:space="0" w:color="auto"/>
              <w:right w:val="single" w:sz="4" w:space="0" w:color="auto"/>
            </w:tcBorders>
            <w:shd w:val="clear" w:color="000000" w:fill="FFFFFF"/>
            <w:hideMark/>
          </w:tcPr>
          <w:p w14:paraId="68976B7A" w14:textId="77777777" w:rsidR="00431B9C" w:rsidRPr="00054520" w:rsidRDefault="00431B9C" w:rsidP="00F33AA4">
            <w:pPr>
              <w:autoSpaceDE/>
              <w:autoSpaceDN/>
              <w:adjustRightInd/>
              <w:spacing w:after="0"/>
              <w:jc w:val="left"/>
              <w:rPr>
                <w:rFonts w:eastAsia="Times New Roman" w:cs="Arial"/>
                <w:sz w:val="20"/>
                <w:szCs w:val="20"/>
                <w:lang w:eastAsia="en-GB"/>
              </w:rPr>
            </w:pPr>
            <w:r>
              <w:rPr>
                <w:rFonts w:cs="Arial"/>
                <w:sz w:val="20"/>
                <w:szCs w:val="20"/>
              </w:rPr>
              <w:t>DEPUTY DIR PUBLIC HEALTH &amp; CONSULTANTS</w:t>
            </w:r>
          </w:p>
        </w:tc>
        <w:tc>
          <w:tcPr>
            <w:tcW w:w="1457" w:type="dxa"/>
            <w:tcBorders>
              <w:top w:val="nil"/>
              <w:left w:val="nil"/>
              <w:bottom w:val="single" w:sz="4" w:space="0" w:color="auto"/>
              <w:right w:val="single" w:sz="4" w:space="0" w:color="auto"/>
            </w:tcBorders>
            <w:shd w:val="clear" w:color="000000" w:fill="FFFFFF"/>
            <w:hideMark/>
          </w:tcPr>
          <w:p w14:paraId="14032102" w14:textId="77777777" w:rsidR="00431B9C" w:rsidRPr="00054520" w:rsidRDefault="00431B9C" w:rsidP="0049320F">
            <w:pPr>
              <w:autoSpaceDE/>
              <w:autoSpaceDN/>
              <w:adjustRightInd/>
              <w:spacing w:after="0"/>
              <w:rPr>
                <w:rFonts w:eastAsia="Times New Roman" w:cs="Arial"/>
                <w:sz w:val="20"/>
                <w:szCs w:val="20"/>
                <w:lang w:eastAsia="en-GB"/>
              </w:rPr>
            </w:pPr>
            <w:r>
              <w:rPr>
                <w:rFonts w:cs="Arial"/>
                <w:sz w:val="20"/>
                <w:szCs w:val="20"/>
              </w:rPr>
              <w:t xml:space="preserve">0.301 </w:t>
            </w:r>
          </w:p>
        </w:tc>
        <w:tc>
          <w:tcPr>
            <w:tcW w:w="1457" w:type="dxa"/>
            <w:tcBorders>
              <w:top w:val="nil"/>
              <w:left w:val="nil"/>
              <w:bottom w:val="single" w:sz="4" w:space="0" w:color="auto"/>
              <w:right w:val="single" w:sz="4" w:space="0" w:color="auto"/>
            </w:tcBorders>
            <w:shd w:val="clear" w:color="000000" w:fill="FFFFFF"/>
            <w:hideMark/>
          </w:tcPr>
          <w:p w14:paraId="5715FC9A" w14:textId="77777777" w:rsidR="00431B9C" w:rsidRPr="00054520" w:rsidRDefault="00431B9C" w:rsidP="0049320F">
            <w:pPr>
              <w:autoSpaceDE/>
              <w:autoSpaceDN/>
              <w:adjustRightInd/>
              <w:spacing w:after="0"/>
              <w:rPr>
                <w:rFonts w:eastAsia="Times New Roman" w:cs="Arial"/>
                <w:sz w:val="20"/>
                <w:szCs w:val="20"/>
                <w:lang w:eastAsia="en-GB"/>
              </w:rPr>
            </w:pPr>
            <w:r>
              <w:rPr>
                <w:rFonts w:cs="Arial"/>
                <w:sz w:val="20"/>
                <w:szCs w:val="20"/>
              </w:rPr>
              <w:t xml:space="preserve">0.161 </w:t>
            </w:r>
          </w:p>
        </w:tc>
        <w:tc>
          <w:tcPr>
            <w:tcW w:w="1457" w:type="dxa"/>
            <w:tcBorders>
              <w:top w:val="nil"/>
              <w:left w:val="nil"/>
              <w:bottom w:val="single" w:sz="4" w:space="0" w:color="auto"/>
              <w:right w:val="single" w:sz="4" w:space="0" w:color="auto"/>
            </w:tcBorders>
            <w:shd w:val="clear" w:color="000000" w:fill="FFFFFF"/>
            <w:hideMark/>
          </w:tcPr>
          <w:p w14:paraId="0188869A" w14:textId="77777777" w:rsidR="00431B9C" w:rsidRPr="00054520" w:rsidRDefault="00431B9C" w:rsidP="0049320F">
            <w:pPr>
              <w:autoSpaceDE/>
              <w:autoSpaceDN/>
              <w:adjustRightInd/>
              <w:spacing w:after="0"/>
              <w:rPr>
                <w:rFonts w:eastAsia="Times New Roman" w:cs="Arial"/>
                <w:sz w:val="20"/>
                <w:szCs w:val="20"/>
                <w:lang w:eastAsia="en-GB"/>
              </w:rPr>
            </w:pPr>
            <w:r>
              <w:rPr>
                <w:rFonts w:cs="Arial"/>
                <w:sz w:val="20"/>
                <w:szCs w:val="20"/>
              </w:rPr>
              <w:t xml:space="preserve">-0.140 </w:t>
            </w:r>
          </w:p>
        </w:tc>
      </w:tr>
      <w:tr w:rsidR="00431B9C" w:rsidRPr="00054520" w14:paraId="4D714292" w14:textId="77777777" w:rsidTr="00431B9C">
        <w:trPr>
          <w:trHeight w:val="544"/>
        </w:trPr>
        <w:tc>
          <w:tcPr>
            <w:tcW w:w="782" w:type="dxa"/>
            <w:tcBorders>
              <w:top w:val="nil"/>
              <w:left w:val="single" w:sz="4" w:space="0" w:color="auto"/>
              <w:bottom w:val="single" w:sz="4" w:space="0" w:color="auto"/>
              <w:right w:val="single" w:sz="4" w:space="0" w:color="auto"/>
            </w:tcBorders>
            <w:shd w:val="clear" w:color="000000" w:fill="D9D9D9"/>
            <w:vAlign w:val="center"/>
            <w:hideMark/>
          </w:tcPr>
          <w:p w14:paraId="3EE54BFF" w14:textId="77777777" w:rsidR="00431B9C" w:rsidRPr="00054520" w:rsidRDefault="00431B9C" w:rsidP="0049320F">
            <w:pPr>
              <w:autoSpaceDE/>
              <w:autoSpaceDN/>
              <w:adjustRightInd/>
              <w:spacing w:after="0"/>
              <w:rPr>
                <w:rFonts w:eastAsia="Times New Roman" w:cs="Arial"/>
                <w:b/>
                <w:bCs/>
                <w:sz w:val="20"/>
                <w:szCs w:val="20"/>
                <w:lang w:eastAsia="en-GB"/>
              </w:rPr>
            </w:pPr>
            <w:r w:rsidRPr="00054520">
              <w:rPr>
                <w:rFonts w:eastAsia="Times New Roman" w:cs="Arial"/>
                <w:b/>
                <w:bCs/>
                <w:sz w:val="20"/>
                <w:szCs w:val="20"/>
                <w:lang w:eastAsia="en-GB"/>
              </w:rPr>
              <w:t> </w:t>
            </w:r>
          </w:p>
        </w:tc>
        <w:tc>
          <w:tcPr>
            <w:tcW w:w="3980" w:type="dxa"/>
            <w:tcBorders>
              <w:top w:val="nil"/>
              <w:left w:val="nil"/>
              <w:bottom w:val="single" w:sz="4" w:space="0" w:color="auto"/>
              <w:right w:val="single" w:sz="4" w:space="0" w:color="auto"/>
            </w:tcBorders>
            <w:shd w:val="clear" w:color="000000" w:fill="D9D9D9"/>
            <w:vAlign w:val="center"/>
            <w:hideMark/>
          </w:tcPr>
          <w:p w14:paraId="7DA142BC" w14:textId="77777777" w:rsidR="00431B9C" w:rsidRPr="00054520" w:rsidRDefault="00431B9C" w:rsidP="004E47BB">
            <w:pPr>
              <w:autoSpaceDE/>
              <w:autoSpaceDN/>
              <w:adjustRightInd/>
              <w:spacing w:after="0"/>
              <w:jc w:val="left"/>
              <w:rPr>
                <w:rFonts w:eastAsia="Times New Roman" w:cs="Arial"/>
                <w:b/>
                <w:bCs/>
                <w:sz w:val="20"/>
                <w:szCs w:val="20"/>
                <w:lang w:eastAsia="en-GB"/>
              </w:rPr>
            </w:pPr>
            <w:r>
              <w:rPr>
                <w:rFonts w:cs="Arial"/>
                <w:b/>
                <w:bCs/>
                <w:sz w:val="20"/>
                <w:szCs w:val="20"/>
              </w:rPr>
              <w:t>TOTAL - PUBLIC HEALTH AND WELLBEING</w:t>
            </w:r>
          </w:p>
        </w:tc>
        <w:tc>
          <w:tcPr>
            <w:tcW w:w="1457" w:type="dxa"/>
            <w:tcBorders>
              <w:top w:val="nil"/>
              <w:left w:val="nil"/>
              <w:bottom w:val="single" w:sz="4" w:space="0" w:color="auto"/>
              <w:right w:val="single" w:sz="4" w:space="0" w:color="auto"/>
            </w:tcBorders>
            <w:shd w:val="clear" w:color="000000" w:fill="D9D9D9"/>
            <w:vAlign w:val="center"/>
            <w:hideMark/>
          </w:tcPr>
          <w:p w14:paraId="2E8A22FB" w14:textId="77777777" w:rsidR="00431B9C" w:rsidRPr="00054520" w:rsidRDefault="00431B9C" w:rsidP="0049320F">
            <w:pPr>
              <w:autoSpaceDE/>
              <w:autoSpaceDN/>
              <w:adjustRightInd/>
              <w:spacing w:after="0"/>
              <w:rPr>
                <w:rFonts w:eastAsia="Times New Roman" w:cs="Arial"/>
                <w:b/>
                <w:bCs/>
                <w:sz w:val="20"/>
                <w:szCs w:val="20"/>
                <w:lang w:eastAsia="en-GB"/>
              </w:rPr>
            </w:pPr>
            <w:r>
              <w:rPr>
                <w:rFonts w:cs="Arial"/>
                <w:b/>
                <w:bCs/>
                <w:sz w:val="20"/>
                <w:szCs w:val="20"/>
              </w:rPr>
              <w:t xml:space="preserve">28.662 </w:t>
            </w:r>
          </w:p>
        </w:tc>
        <w:tc>
          <w:tcPr>
            <w:tcW w:w="1457" w:type="dxa"/>
            <w:tcBorders>
              <w:top w:val="nil"/>
              <w:left w:val="nil"/>
              <w:bottom w:val="single" w:sz="4" w:space="0" w:color="auto"/>
              <w:right w:val="single" w:sz="4" w:space="0" w:color="auto"/>
            </w:tcBorders>
            <w:shd w:val="clear" w:color="000000" w:fill="D9D9D9"/>
            <w:vAlign w:val="center"/>
            <w:hideMark/>
          </w:tcPr>
          <w:p w14:paraId="046CB441" w14:textId="77777777" w:rsidR="00431B9C" w:rsidRPr="00054520" w:rsidRDefault="00431B9C" w:rsidP="0049320F">
            <w:pPr>
              <w:autoSpaceDE/>
              <w:autoSpaceDN/>
              <w:adjustRightInd/>
              <w:spacing w:after="0"/>
              <w:rPr>
                <w:rFonts w:eastAsia="Times New Roman" w:cs="Arial"/>
                <w:b/>
                <w:bCs/>
                <w:sz w:val="20"/>
                <w:szCs w:val="20"/>
                <w:lang w:eastAsia="en-GB"/>
              </w:rPr>
            </w:pPr>
            <w:r>
              <w:rPr>
                <w:rFonts w:cs="Arial"/>
                <w:b/>
                <w:bCs/>
                <w:sz w:val="20"/>
                <w:szCs w:val="20"/>
              </w:rPr>
              <w:t xml:space="preserve">30.521 </w:t>
            </w:r>
          </w:p>
        </w:tc>
        <w:tc>
          <w:tcPr>
            <w:tcW w:w="1457" w:type="dxa"/>
            <w:tcBorders>
              <w:top w:val="nil"/>
              <w:left w:val="nil"/>
              <w:bottom w:val="single" w:sz="4" w:space="0" w:color="auto"/>
              <w:right w:val="single" w:sz="4" w:space="0" w:color="auto"/>
            </w:tcBorders>
            <w:shd w:val="clear" w:color="000000" w:fill="D9D9D9"/>
            <w:vAlign w:val="center"/>
            <w:hideMark/>
          </w:tcPr>
          <w:p w14:paraId="594BD683" w14:textId="77777777" w:rsidR="00431B9C" w:rsidRPr="00054520" w:rsidRDefault="00431B9C" w:rsidP="0049320F">
            <w:pPr>
              <w:autoSpaceDE/>
              <w:autoSpaceDN/>
              <w:adjustRightInd/>
              <w:spacing w:after="0"/>
              <w:rPr>
                <w:rFonts w:eastAsia="Times New Roman" w:cs="Arial"/>
                <w:b/>
                <w:bCs/>
                <w:sz w:val="20"/>
                <w:szCs w:val="20"/>
                <w:lang w:eastAsia="en-GB"/>
              </w:rPr>
            </w:pPr>
            <w:r>
              <w:rPr>
                <w:rFonts w:cs="Arial"/>
                <w:b/>
                <w:bCs/>
                <w:sz w:val="20"/>
                <w:szCs w:val="20"/>
              </w:rPr>
              <w:t xml:space="preserve">1.859 </w:t>
            </w:r>
          </w:p>
        </w:tc>
      </w:tr>
    </w:tbl>
    <w:p w14:paraId="0D13B2DC" w14:textId="77777777" w:rsidR="00431B9C" w:rsidRDefault="00431B9C" w:rsidP="0049320F">
      <w:pPr>
        <w:tabs>
          <w:tab w:val="left" w:pos="851"/>
          <w:tab w:val="left" w:pos="1418"/>
        </w:tabs>
        <w:spacing w:after="0"/>
        <w:contextualSpacing/>
        <w:rPr>
          <w:rFonts w:cs="Arial"/>
        </w:rPr>
      </w:pPr>
    </w:p>
    <w:p w14:paraId="47C150E7" w14:textId="77777777" w:rsidR="00431B9C" w:rsidRPr="00161FFE" w:rsidRDefault="00431B9C" w:rsidP="0049320F">
      <w:pPr>
        <w:tabs>
          <w:tab w:val="left" w:pos="851"/>
          <w:tab w:val="left" w:pos="1418"/>
        </w:tabs>
        <w:spacing w:after="0"/>
        <w:contextualSpacing/>
        <w:rPr>
          <w:rFonts w:cs="Arial"/>
        </w:rPr>
      </w:pPr>
      <w:r w:rsidRPr="00161FFE">
        <w:rPr>
          <w:rFonts w:cs="Arial"/>
        </w:rPr>
        <w:t>The total net revised budget for Public Health &amp; Wellbeing Services in 2016/17 is £28.662m.  As at the end of quarter 1, the service is forecast to overspend by £1.859m.</w:t>
      </w:r>
    </w:p>
    <w:p w14:paraId="5E49837C" w14:textId="77777777" w:rsidR="00431B9C" w:rsidRPr="00161FFE" w:rsidRDefault="00431B9C" w:rsidP="0049320F">
      <w:pPr>
        <w:autoSpaceDE/>
        <w:autoSpaceDN/>
        <w:adjustRightInd/>
        <w:spacing w:after="0"/>
        <w:rPr>
          <w:rFonts w:cs="Arial"/>
        </w:rPr>
      </w:pPr>
    </w:p>
    <w:p w14:paraId="45461685" w14:textId="77777777" w:rsidR="00431B9C" w:rsidRPr="00161FFE" w:rsidRDefault="00431B9C" w:rsidP="0049320F">
      <w:pPr>
        <w:autoSpaceDE/>
        <w:autoSpaceDN/>
        <w:adjustRightInd/>
        <w:spacing w:after="0"/>
        <w:rPr>
          <w:rFonts w:cs="Arial"/>
        </w:rPr>
      </w:pPr>
    </w:p>
    <w:p w14:paraId="2CDACA6E" w14:textId="7BB28E21" w:rsidR="00431B9C" w:rsidRPr="00161FFE" w:rsidRDefault="00622590" w:rsidP="0049320F">
      <w:pPr>
        <w:autoSpaceDE/>
        <w:autoSpaceDN/>
        <w:adjustRightInd/>
        <w:spacing w:after="0"/>
        <w:rPr>
          <w:rFonts w:cs="Arial"/>
          <w:b/>
        </w:rPr>
      </w:pPr>
      <w:r w:rsidRPr="00161FFE">
        <w:rPr>
          <w:rFonts w:cs="Arial"/>
          <w:b/>
        </w:rPr>
        <w:t>3.4</w:t>
      </w:r>
      <w:r w:rsidR="00431B9C" w:rsidRPr="00161FFE">
        <w:rPr>
          <w:rFonts w:cs="Arial"/>
          <w:b/>
        </w:rPr>
        <w:t>.1</w:t>
      </w:r>
      <w:r w:rsidR="00431B9C" w:rsidRPr="00161FFE">
        <w:rPr>
          <w:rFonts w:cs="Arial"/>
          <w:b/>
        </w:rPr>
        <w:tab/>
        <w:t>Public Health &amp; Wellbeing</w:t>
      </w:r>
    </w:p>
    <w:p w14:paraId="609496D4" w14:textId="77777777" w:rsidR="00431B9C" w:rsidRPr="00161FFE" w:rsidRDefault="00431B9C" w:rsidP="0049320F">
      <w:pPr>
        <w:autoSpaceDE/>
        <w:autoSpaceDN/>
        <w:adjustRightInd/>
        <w:spacing w:after="0"/>
        <w:rPr>
          <w:rFonts w:cs="Arial"/>
          <w:b/>
        </w:rPr>
      </w:pPr>
    </w:p>
    <w:p w14:paraId="3F6B3E0C" w14:textId="47348FBA" w:rsidR="00431B9C" w:rsidRPr="00161FFE" w:rsidRDefault="00431B9C" w:rsidP="0049320F">
      <w:pPr>
        <w:tabs>
          <w:tab w:val="left" w:pos="851"/>
          <w:tab w:val="left" w:pos="1418"/>
        </w:tabs>
        <w:spacing w:after="0"/>
        <w:rPr>
          <w:rFonts w:cs="Arial"/>
        </w:rPr>
      </w:pPr>
      <w:proofErr w:type="gramStart"/>
      <w:r w:rsidRPr="00161FFE">
        <w:rPr>
          <w:rFonts w:cs="Arial"/>
        </w:rPr>
        <w:t>The overspend</w:t>
      </w:r>
      <w:proofErr w:type="gramEnd"/>
      <w:r w:rsidRPr="00161FFE">
        <w:rPr>
          <w:rFonts w:cs="Arial"/>
        </w:rPr>
        <w:t xml:space="preserve"> reported at £1.949m is largely due to a reduction in the Public Health grant amounting to £1.925m. These grant reductions continue into 2017/18 and have been highlighted </w:t>
      </w:r>
      <w:r w:rsidR="00CB3546" w:rsidRPr="00161FFE">
        <w:rPr>
          <w:rFonts w:cs="Arial"/>
        </w:rPr>
        <w:t xml:space="preserve">and adjusted for </w:t>
      </w:r>
      <w:r w:rsidRPr="00161FFE">
        <w:rPr>
          <w:rFonts w:cs="Arial"/>
        </w:rPr>
        <w:t xml:space="preserve">within the </w:t>
      </w:r>
      <w:r w:rsidR="00A64B8B" w:rsidRPr="00161FFE">
        <w:rPr>
          <w:rFonts w:cs="Arial"/>
        </w:rPr>
        <w:t xml:space="preserve">revised </w:t>
      </w:r>
      <w:r w:rsidRPr="00161FFE">
        <w:rPr>
          <w:rFonts w:cs="Arial"/>
        </w:rPr>
        <w:t>MTFS.</w:t>
      </w:r>
    </w:p>
    <w:p w14:paraId="103835F1" w14:textId="77777777" w:rsidR="00431B9C" w:rsidRPr="00161FFE" w:rsidRDefault="00431B9C" w:rsidP="0049320F">
      <w:pPr>
        <w:autoSpaceDE/>
        <w:autoSpaceDN/>
        <w:adjustRightInd/>
        <w:spacing w:after="0"/>
        <w:rPr>
          <w:rFonts w:cs="Arial"/>
        </w:rPr>
      </w:pPr>
    </w:p>
    <w:p w14:paraId="577A2163" w14:textId="7B59567A" w:rsidR="00431B9C" w:rsidRPr="00161FFE" w:rsidRDefault="00622590" w:rsidP="0049320F">
      <w:pPr>
        <w:tabs>
          <w:tab w:val="left" w:pos="851"/>
          <w:tab w:val="left" w:pos="1418"/>
        </w:tabs>
        <w:spacing w:after="0"/>
        <w:rPr>
          <w:rFonts w:cs="Arial"/>
          <w:b/>
        </w:rPr>
      </w:pPr>
      <w:r w:rsidRPr="00161FFE">
        <w:rPr>
          <w:rFonts w:cs="Arial"/>
          <w:b/>
        </w:rPr>
        <w:t>3.4</w:t>
      </w:r>
      <w:r w:rsidR="00431B9C" w:rsidRPr="00161FFE">
        <w:rPr>
          <w:rFonts w:cs="Arial"/>
          <w:b/>
        </w:rPr>
        <w:t>.2</w:t>
      </w:r>
      <w:r w:rsidR="00431B9C" w:rsidRPr="00161FFE">
        <w:rPr>
          <w:rFonts w:cs="Arial"/>
          <w:b/>
        </w:rPr>
        <w:tab/>
        <w:t>Patient Safety &amp; Quality Improvement</w:t>
      </w:r>
    </w:p>
    <w:p w14:paraId="035FADB5" w14:textId="77777777" w:rsidR="00431B9C" w:rsidRPr="00161FFE" w:rsidRDefault="00431B9C" w:rsidP="0049320F">
      <w:pPr>
        <w:autoSpaceDE/>
        <w:adjustRightInd/>
        <w:spacing w:after="0"/>
        <w:rPr>
          <w:rFonts w:cs="Arial"/>
        </w:rPr>
      </w:pPr>
    </w:p>
    <w:p w14:paraId="0897AAF6" w14:textId="331D434D" w:rsidR="00431B9C" w:rsidRPr="00161FFE" w:rsidRDefault="00EB03D7" w:rsidP="0049320F">
      <w:pPr>
        <w:autoSpaceDE/>
        <w:adjustRightInd/>
        <w:spacing w:after="0"/>
        <w:rPr>
          <w:rFonts w:cs="Arial"/>
          <w:b/>
        </w:rPr>
      </w:pPr>
      <w:r w:rsidRPr="00161FFE">
        <w:rPr>
          <w:rFonts w:cs="Arial"/>
        </w:rPr>
        <w:t>This service is forecast to underspend by £0.189</w:t>
      </w:r>
      <w:r w:rsidR="00B931A6" w:rsidRPr="00161FFE">
        <w:rPr>
          <w:rFonts w:cs="Arial"/>
        </w:rPr>
        <w:t>m</w:t>
      </w:r>
      <w:r w:rsidRPr="00161FFE">
        <w:rPr>
          <w:rFonts w:cs="Arial"/>
        </w:rPr>
        <w:t xml:space="preserve"> and incorporates </w:t>
      </w:r>
      <w:r w:rsidR="00A64B8B" w:rsidRPr="00161FFE">
        <w:rPr>
          <w:rFonts w:cs="Arial"/>
        </w:rPr>
        <w:t xml:space="preserve">the forecast delivery of the </w:t>
      </w:r>
      <w:r w:rsidRPr="00161FFE">
        <w:rPr>
          <w:rFonts w:cs="Arial"/>
        </w:rPr>
        <w:t>2016/17 saving of £0.788m. The forecast also includes</w:t>
      </w:r>
      <w:r w:rsidR="00431B9C" w:rsidRPr="00161FFE">
        <w:rPr>
          <w:rFonts w:cs="Arial"/>
        </w:rPr>
        <w:t xml:space="preserve"> the planned application of non-recurrent Health reserve funding of £0.369m in relation to the Steady On falls prevention strategy.</w:t>
      </w:r>
      <w:r w:rsidRPr="00161FFE">
        <w:rPr>
          <w:rFonts w:cs="Arial"/>
        </w:rPr>
        <w:t xml:space="preserve"> </w:t>
      </w:r>
    </w:p>
    <w:p w14:paraId="3D86474E" w14:textId="77777777" w:rsidR="00431B9C" w:rsidRPr="00161FFE" w:rsidRDefault="00431B9C" w:rsidP="0049320F">
      <w:pPr>
        <w:tabs>
          <w:tab w:val="left" w:pos="851"/>
          <w:tab w:val="left" w:pos="1418"/>
        </w:tabs>
        <w:spacing w:after="0"/>
        <w:rPr>
          <w:rFonts w:cs="Arial"/>
        </w:rPr>
      </w:pPr>
    </w:p>
    <w:p w14:paraId="636A4E0E" w14:textId="119FB6B4" w:rsidR="00431B9C" w:rsidRPr="00161FFE" w:rsidRDefault="00622590" w:rsidP="0049320F">
      <w:pPr>
        <w:tabs>
          <w:tab w:val="left" w:pos="851"/>
          <w:tab w:val="left" w:pos="1418"/>
        </w:tabs>
        <w:spacing w:after="0"/>
        <w:rPr>
          <w:rFonts w:cs="Arial"/>
        </w:rPr>
      </w:pPr>
      <w:r w:rsidRPr="00161FFE">
        <w:rPr>
          <w:rFonts w:cs="Arial"/>
          <w:b/>
        </w:rPr>
        <w:t>3.4</w:t>
      </w:r>
      <w:r w:rsidR="00431B9C" w:rsidRPr="00161FFE">
        <w:rPr>
          <w:rFonts w:cs="Arial"/>
          <w:b/>
        </w:rPr>
        <w:t>.3</w:t>
      </w:r>
      <w:r w:rsidR="00431B9C" w:rsidRPr="00161FFE">
        <w:rPr>
          <w:rFonts w:cs="Arial"/>
          <w:b/>
        </w:rPr>
        <w:tab/>
        <w:t>Health Equity, Welfare &amp; Partnerships</w:t>
      </w:r>
      <w:r w:rsidR="00431B9C" w:rsidRPr="00161FFE">
        <w:rPr>
          <w:rFonts w:cs="Arial"/>
        </w:rPr>
        <w:t xml:space="preserve"> </w:t>
      </w:r>
    </w:p>
    <w:p w14:paraId="00415D4F" w14:textId="77777777" w:rsidR="00431B9C" w:rsidRPr="00161FFE" w:rsidRDefault="00431B9C" w:rsidP="0049320F">
      <w:pPr>
        <w:tabs>
          <w:tab w:val="left" w:pos="851"/>
          <w:tab w:val="left" w:pos="1418"/>
        </w:tabs>
        <w:spacing w:after="0"/>
        <w:rPr>
          <w:rFonts w:cs="Arial"/>
        </w:rPr>
      </w:pPr>
    </w:p>
    <w:p w14:paraId="66A55A97" w14:textId="23FB58CC" w:rsidR="00431B9C" w:rsidRPr="00161FFE" w:rsidRDefault="00431B9C" w:rsidP="0049320F">
      <w:pPr>
        <w:tabs>
          <w:tab w:val="left" w:pos="851"/>
          <w:tab w:val="left" w:pos="1418"/>
        </w:tabs>
        <w:spacing w:after="0"/>
        <w:rPr>
          <w:rFonts w:cs="Arial"/>
        </w:rPr>
      </w:pPr>
      <w:r w:rsidRPr="00161FFE">
        <w:rPr>
          <w:rFonts w:cs="Arial"/>
        </w:rPr>
        <w:t xml:space="preserve">The is no variance against the service budget however this forecast includes the application of non-recurrent reserve funding of £0.952m in relation to the Domestic Abuse strategy to continue this service up to the end of March 2017. </w:t>
      </w:r>
      <w:r w:rsidR="00CC48E1" w:rsidRPr="00161FFE">
        <w:rPr>
          <w:rFonts w:cs="Arial"/>
        </w:rPr>
        <w:t xml:space="preserve">The forecast also includes approved budget reductions of £197k in relation to Welfare Rights. </w:t>
      </w:r>
    </w:p>
    <w:p w14:paraId="70914A37" w14:textId="77777777" w:rsidR="00431B9C" w:rsidRPr="00161FFE" w:rsidRDefault="00431B9C" w:rsidP="0049320F">
      <w:pPr>
        <w:tabs>
          <w:tab w:val="left" w:pos="851"/>
          <w:tab w:val="left" w:pos="1418"/>
        </w:tabs>
        <w:spacing w:after="0"/>
        <w:rPr>
          <w:rFonts w:cs="Arial"/>
        </w:rPr>
      </w:pPr>
    </w:p>
    <w:p w14:paraId="10D915C5" w14:textId="66E90C8D" w:rsidR="00431B9C" w:rsidRPr="00161FFE" w:rsidRDefault="00622590" w:rsidP="0049320F">
      <w:pPr>
        <w:tabs>
          <w:tab w:val="left" w:pos="851"/>
          <w:tab w:val="left" w:pos="1418"/>
        </w:tabs>
        <w:spacing w:after="0"/>
        <w:rPr>
          <w:rFonts w:cs="Arial"/>
          <w:b/>
        </w:rPr>
      </w:pPr>
      <w:r w:rsidRPr="00161FFE">
        <w:rPr>
          <w:rFonts w:cs="Arial"/>
          <w:b/>
        </w:rPr>
        <w:t>3.4</w:t>
      </w:r>
      <w:r w:rsidR="00431B9C" w:rsidRPr="00161FFE">
        <w:rPr>
          <w:rFonts w:cs="Arial"/>
          <w:b/>
        </w:rPr>
        <w:t>.4</w:t>
      </w:r>
      <w:r w:rsidR="00431B9C" w:rsidRPr="00161FFE">
        <w:rPr>
          <w:rFonts w:cs="Arial"/>
          <w:b/>
        </w:rPr>
        <w:tab/>
        <w:t>Wellbeing, Prevention &amp; Early Help</w:t>
      </w:r>
    </w:p>
    <w:p w14:paraId="71D701EA" w14:textId="77777777" w:rsidR="00C646AB" w:rsidRPr="00161FFE" w:rsidRDefault="00C646AB" w:rsidP="0049320F">
      <w:pPr>
        <w:tabs>
          <w:tab w:val="left" w:pos="851"/>
          <w:tab w:val="left" w:pos="1418"/>
        </w:tabs>
        <w:spacing w:after="0"/>
        <w:rPr>
          <w:rFonts w:cs="Arial"/>
          <w:b/>
        </w:rPr>
      </w:pPr>
    </w:p>
    <w:p w14:paraId="6AE705F9" w14:textId="77777777" w:rsidR="00431B9C" w:rsidRPr="00161FFE" w:rsidRDefault="00431B9C" w:rsidP="0049320F">
      <w:pPr>
        <w:tabs>
          <w:tab w:val="left" w:pos="851"/>
          <w:tab w:val="left" w:pos="1418"/>
        </w:tabs>
        <w:spacing w:after="0"/>
        <w:rPr>
          <w:rFonts w:cs="Arial"/>
        </w:rPr>
      </w:pPr>
      <w:r w:rsidRPr="00161FFE">
        <w:rPr>
          <w:rFonts w:cs="Arial"/>
        </w:rPr>
        <w:t>An overall overspend of £0.673m has been forecast for the service.</w:t>
      </w:r>
    </w:p>
    <w:p w14:paraId="2AEA193D" w14:textId="77777777" w:rsidR="00C646AB" w:rsidRPr="00161FFE" w:rsidRDefault="00C646AB" w:rsidP="0049320F">
      <w:pPr>
        <w:tabs>
          <w:tab w:val="left" w:pos="851"/>
          <w:tab w:val="left" w:pos="1418"/>
        </w:tabs>
        <w:spacing w:after="0"/>
        <w:rPr>
          <w:rFonts w:cs="Arial"/>
        </w:rPr>
      </w:pPr>
    </w:p>
    <w:p w14:paraId="3BDD087C" w14:textId="787E2418" w:rsidR="00431B9C" w:rsidRPr="00161FFE" w:rsidRDefault="00431B9C" w:rsidP="0049320F">
      <w:pPr>
        <w:pStyle w:val="ListParagraph"/>
        <w:numPr>
          <w:ilvl w:val="0"/>
          <w:numId w:val="30"/>
        </w:numPr>
        <w:tabs>
          <w:tab w:val="left" w:pos="851"/>
          <w:tab w:val="left" w:pos="1418"/>
        </w:tabs>
        <w:spacing w:after="0"/>
        <w:rPr>
          <w:rFonts w:cs="Arial"/>
        </w:rPr>
      </w:pPr>
      <w:r w:rsidRPr="00161FFE">
        <w:rPr>
          <w:rFonts w:cs="Arial"/>
        </w:rPr>
        <w:lastRenderedPageBreak/>
        <w:t xml:space="preserve">Under Public Health General there has been a delay in ceasing the </w:t>
      </w:r>
      <w:proofErr w:type="spellStart"/>
      <w:r w:rsidRPr="00161FFE">
        <w:rPr>
          <w:rFonts w:cs="Arial"/>
        </w:rPr>
        <w:t>Homestart</w:t>
      </w:r>
      <w:proofErr w:type="spellEnd"/>
      <w:r w:rsidRPr="00161FFE">
        <w:rPr>
          <w:rFonts w:cs="Arial"/>
        </w:rPr>
        <w:t xml:space="preserve"> contract £0.170m earmarked to end March 2016 as part of the BOP 48 savings however this activity aligns with the 0-19 service recommission</w:t>
      </w:r>
      <w:r w:rsidR="00A64B8B" w:rsidRPr="00161FFE">
        <w:rPr>
          <w:rFonts w:cs="Arial"/>
        </w:rPr>
        <w:t>ing</w:t>
      </w:r>
      <w:r w:rsidRPr="00161FFE">
        <w:rPr>
          <w:rFonts w:cs="Arial"/>
        </w:rPr>
        <w:t xml:space="preserve"> and has therefore been extended to March 2017 to coincide with this full </w:t>
      </w:r>
      <w:proofErr w:type="spellStart"/>
      <w:r w:rsidRPr="00161FFE">
        <w:rPr>
          <w:rFonts w:cs="Arial"/>
        </w:rPr>
        <w:t>reprocurement</w:t>
      </w:r>
      <w:proofErr w:type="spellEnd"/>
      <w:r w:rsidRPr="00161FFE">
        <w:rPr>
          <w:rFonts w:cs="Arial"/>
        </w:rPr>
        <w:t xml:space="preserve"> of services. There has also been a delay in the substance misuse saving strategy causing </w:t>
      </w:r>
      <w:r w:rsidR="00B931A6" w:rsidRPr="00161FFE">
        <w:rPr>
          <w:rFonts w:cs="Arial"/>
        </w:rPr>
        <w:t>an</w:t>
      </w:r>
      <w:r w:rsidRPr="00161FFE">
        <w:rPr>
          <w:rFonts w:cs="Arial"/>
        </w:rPr>
        <w:t xml:space="preserve"> in year pressure of £0.920m. These pressures are </w:t>
      </w:r>
      <w:r w:rsidR="00A64B8B" w:rsidRPr="00161FFE">
        <w:rPr>
          <w:rFonts w:cs="Arial"/>
        </w:rPr>
        <w:t xml:space="preserve">partly </w:t>
      </w:r>
      <w:proofErr w:type="spellStart"/>
      <w:r w:rsidRPr="00161FFE">
        <w:rPr>
          <w:rFonts w:cs="Arial"/>
        </w:rPr>
        <w:t>off set</w:t>
      </w:r>
      <w:proofErr w:type="spellEnd"/>
      <w:r w:rsidRPr="00161FFE">
        <w:rPr>
          <w:rFonts w:cs="Arial"/>
        </w:rPr>
        <w:t xml:space="preserve"> by the early delivery of B0P33 savings £0.417m in </w:t>
      </w:r>
      <w:r w:rsidR="00B931A6" w:rsidRPr="00161FFE">
        <w:rPr>
          <w:rFonts w:cs="Arial"/>
        </w:rPr>
        <w:t>Children's</w:t>
      </w:r>
      <w:r w:rsidRPr="00161FFE">
        <w:rPr>
          <w:rFonts w:cs="Arial"/>
        </w:rPr>
        <w:t xml:space="preserve"> services as the service redesign moves forward.</w:t>
      </w:r>
    </w:p>
    <w:p w14:paraId="299B4D99" w14:textId="77777777" w:rsidR="00431B9C" w:rsidRPr="00161FFE" w:rsidRDefault="00431B9C" w:rsidP="0049320F">
      <w:pPr>
        <w:pStyle w:val="ListParagraph"/>
        <w:numPr>
          <w:ilvl w:val="0"/>
          <w:numId w:val="30"/>
        </w:numPr>
        <w:tabs>
          <w:tab w:val="left" w:pos="851"/>
          <w:tab w:val="left" w:pos="1418"/>
        </w:tabs>
        <w:spacing w:after="0"/>
        <w:rPr>
          <w:rFonts w:cs="Arial"/>
        </w:rPr>
      </w:pPr>
      <w:r w:rsidRPr="00161FFE">
        <w:rPr>
          <w:rFonts w:cs="Arial"/>
        </w:rPr>
        <w:t xml:space="preserve">Under the Public Health Combined Offer </w:t>
      </w:r>
      <w:proofErr w:type="gramStart"/>
      <w:r w:rsidRPr="00161FFE">
        <w:rPr>
          <w:rFonts w:cs="Arial"/>
        </w:rPr>
        <w:t>the underspend</w:t>
      </w:r>
      <w:proofErr w:type="gramEnd"/>
      <w:r w:rsidRPr="00161FFE">
        <w:rPr>
          <w:rFonts w:cs="Arial"/>
        </w:rPr>
        <w:t xml:space="preserve"> seen in 2015/16 is forecast to continue into 2016/17 meaning a reduced requirement from reserves to fund the service in its transition year.</w:t>
      </w:r>
    </w:p>
    <w:p w14:paraId="45FCA42C" w14:textId="00B54071" w:rsidR="00431B9C" w:rsidRPr="00161FFE" w:rsidRDefault="00431B9C" w:rsidP="0049320F">
      <w:pPr>
        <w:pStyle w:val="ListParagraph"/>
        <w:numPr>
          <w:ilvl w:val="0"/>
          <w:numId w:val="30"/>
        </w:numPr>
        <w:tabs>
          <w:tab w:val="left" w:pos="851"/>
          <w:tab w:val="left" w:pos="1418"/>
        </w:tabs>
        <w:spacing w:after="0"/>
        <w:rPr>
          <w:rFonts w:cs="Arial"/>
        </w:rPr>
      </w:pPr>
      <w:r w:rsidRPr="00161FFE">
        <w:rPr>
          <w:rFonts w:cs="Arial"/>
        </w:rPr>
        <w:t xml:space="preserve">Working together with Families is forecast to exceed its income target, </w:t>
      </w:r>
      <w:proofErr w:type="gramStart"/>
      <w:r w:rsidR="00CB3546" w:rsidRPr="00161FFE">
        <w:rPr>
          <w:rFonts w:cs="Arial"/>
        </w:rPr>
        <w:t xml:space="preserve">and </w:t>
      </w:r>
      <w:r w:rsidRPr="00161FFE">
        <w:rPr>
          <w:rFonts w:cs="Arial"/>
        </w:rPr>
        <w:t xml:space="preserve"> has</w:t>
      </w:r>
      <w:proofErr w:type="gramEnd"/>
      <w:r w:rsidRPr="00161FFE">
        <w:rPr>
          <w:rFonts w:cs="Arial"/>
        </w:rPr>
        <w:t xml:space="preserve"> been </w:t>
      </w:r>
      <w:r w:rsidR="00CB3546" w:rsidRPr="00161FFE">
        <w:rPr>
          <w:rFonts w:cs="Arial"/>
        </w:rPr>
        <w:t>reflected within the updated</w:t>
      </w:r>
      <w:r w:rsidRPr="00161FFE">
        <w:rPr>
          <w:rFonts w:cs="Arial"/>
        </w:rPr>
        <w:t xml:space="preserve"> MTFS.</w:t>
      </w:r>
    </w:p>
    <w:p w14:paraId="083311AA" w14:textId="77777777" w:rsidR="00431B9C" w:rsidRPr="00161FFE" w:rsidRDefault="00431B9C" w:rsidP="0049320F">
      <w:pPr>
        <w:pStyle w:val="ListParagraph"/>
        <w:tabs>
          <w:tab w:val="left" w:pos="851"/>
          <w:tab w:val="left" w:pos="1418"/>
        </w:tabs>
        <w:spacing w:after="0"/>
        <w:ind w:left="851"/>
        <w:rPr>
          <w:rFonts w:cs="Arial"/>
        </w:rPr>
      </w:pPr>
    </w:p>
    <w:p w14:paraId="7DC2AA91" w14:textId="4475D56A" w:rsidR="0068285C" w:rsidRPr="00161FFE" w:rsidRDefault="0068285C" w:rsidP="0049320F">
      <w:pPr>
        <w:rPr>
          <w:rFonts w:cs="Arial"/>
          <w:color w:val="auto"/>
        </w:rPr>
      </w:pPr>
      <w:r w:rsidRPr="00161FFE">
        <w:rPr>
          <w:rFonts w:cs="Arial"/>
        </w:rPr>
        <w:t>The forecast position for 2016/17 includes budget reductions of £9.173m but offsetting these savings is an approved drawdown from the transitional reserve of £4.755m. However due to early delivery of savings of the PH combined offer only £3.315m has been drawn down from the transitional reserve.</w:t>
      </w:r>
      <w:r w:rsidR="00CB3546" w:rsidRPr="00161FFE">
        <w:rPr>
          <w:rFonts w:cs="Arial"/>
        </w:rPr>
        <w:t xml:space="preserve"> </w:t>
      </w:r>
      <w:r w:rsidRPr="00161FFE">
        <w:rPr>
          <w:rFonts w:cs="Arial"/>
        </w:rPr>
        <w:t xml:space="preserve">In addition the forecast includes </w:t>
      </w:r>
      <w:r w:rsidRPr="00161FFE">
        <w:rPr>
          <w:rFonts w:cs="Arial"/>
          <w:color w:val="auto"/>
        </w:rPr>
        <w:t>£0.354m earmarked reserve funding for public health projects such as affordable warmth strategy.</w:t>
      </w:r>
    </w:p>
    <w:p w14:paraId="4188258C" w14:textId="7DD5DA2D" w:rsidR="00E67E7D" w:rsidRPr="00161FFE" w:rsidRDefault="00E67E7D" w:rsidP="0049320F">
      <w:pPr>
        <w:rPr>
          <w:rFonts w:cs="Arial"/>
          <w:color w:val="FF0000"/>
        </w:rPr>
      </w:pPr>
      <w:r w:rsidRPr="00161FFE">
        <w:rPr>
          <w:rFonts w:cs="Arial"/>
          <w:color w:val="auto"/>
        </w:rPr>
        <w:t xml:space="preserve">The forecast also includes the application of £0.570m from the former CYP DFM General Reserve for commitments against the Working Together with Families Programme. </w:t>
      </w:r>
    </w:p>
    <w:p w14:paraId="78134143" w14:textId="77777777" w:rsidR="00431B9C" w:rsidRPr="00161FFE" w:rsidRDefault="00431B9C" w:rsidP="0049320F">
      <w:pPr>
        <w:tabs>
          <w:tab w:val="left" w:pos="851"/>
          <w:tab w:val="left" w:pos="1418"/>
        </w:tabs>
        <w:spacing w:after="0"/>
        <w:rPr>
          <w:rFonts w:cs="Arial"/>
          <w:b/>
        </w:rPr>
      </w:pPr>
    </w:p>
    <w:p w14:paraId="15BBB0C3" w14:textId="51B92463" w:rsidR="00431B9C" w:rsidRPr="00161FFE" w:rsidRDefault="00431B9C" w:rsidP="0049320F">
      <w:pPr>
        <w:tabs>
          <w:tab w:val="left" w:pos="851"/>
          <w:tab w:val="left" w:pos="1418"/>
        </w:tabs>
        <w:spacing w:after="0"/>
        <w:rPr>
          <w:rFonts w:cs="Arial"/>
          <w:b/>
        </w:rPr>
      </w:pPr>
      <w:r w:rsidRPr="00161FFE">
        <w:rPr>
          <w:rFonts w:cs="Arial"/>
          <w:b/>
        </w:rPr>
        <w:t>3.</w:t>
      </w:r>
      <w:r w:rsidR="00622590" w:rsidRPr="00161FFE">
        <w:rPr>
          <w:rFonts w:cs="Arial"/>
          <w:b/>
        </w:rPr>
        <w:t>4</w:t>
      </w:r>
      <w:r w:rsidRPr="00161FFE">
        <w:rPr>
          <w:rFonts w:cs="Arial"/>
          <w:b/>
        </w:rPr>
        <w:t>.5</w:t>
      </w:r>
      <w:r w:rsidRPr="00161FFE">
        <w:rPr>
          <w:rFonts w:cs="Arial"/>
          <w:b/>
        </w:rPr>
        <w:tab/>
        <w:t>Emergency Planning &amp; Resilience</w:t>
      </w:r>
    </w:p>
    <w:p w14:paraId="5C78E169" w14:textId="77777777" w:rsidR="00431B9C" w:rsidRPr="00161FFE" w:rsidRDefault="00431B9C" w:rsidP="0049320F">
      <w:pPr>
        <w:tabs>
          <w:tab w:val="left" w:pos="851"/>
          <w:tab w:val="left" w:pos="1418"/>
        </w:tabs>
        <w:spacing w:after="0"/>
        <w:rPr>
          <w:rFonts w:cs="Arial"/>
          <w:b/>
        </w:rPr>
      </w:pPr>
    </w:p>
    <w:p w14:paraId="246C584E" w14:textId="370B09FE" w:rsidR="00431B9C" w:rsidRPr="00161FFE" w:rsidRDefault="00431B9C" w:rsidP="0049320F">
      <w:pPr>
        <w:tabs>
          <w:tab w:val="left" w:pos="851"/>
          <w:tab w:val="left" w:pos="1418"/>
        </w:tabs>
        <w:spacing w:after="0"/>
        <w:rPr>
          <w:rFonts w:cs="Arial"/>
        </w:rPr>
      </w:pPr>
      <w:proofErr w:type="gramStart"/>
      <w:r w:rsidRPr="00161FFE">
        <w:rPr>
          <w:rFonts w:cs="Arial"/>
        </w:rPr>
        <w:t>An underspend</w:t>
      </w:r>
      <w:proofErr w:type="gramEnd"/>
      <w:r w:rsidRPr="00161FFE">
        <w:rPr>
          <w:rFonts w:cs="Arial"/>
        </w:rPr>
        <w:t xml:space="preserve"> of £0.533m has been forecast due to </w:t>
      </w:r>
      <w:r w:rsidR="00B23B6C" w:rsidRPr="00161FFE">
        <w:rPr>
          <w:rFonts w:cs="Arial"/>
        </w:rPr>
        <w:t>the over-delivery of income</w:t>
      </w:r>
      <w:r w:rsidR="006D0B6F" w:rsidRPr="00161FFE">
        <w:rPr>
          <w:rFonts w:cs="Arial"/>
        </w:rPr>
        <w:t xml:space="preserve"> against</w:t>
      </w:r>
      <w:r w:rsidR="00B23B6C" w:rsidRPr="00161FFE">
        <w:rPr>
          <w:rFonts w:cs="Arial"/>
        </w:rPr>
        <w:t xml:space="preserve"> current targets</w:t>
      </w:r>
      <w:r w:rsidR="006D0B6F" w:rsidRPr="00161FFE">
        <w:rPr>
          <w:rFonts w:cs="Arial"/>
        </w:rPr>
        <w:t xml:space="preserve"> for Health &amp; Safety work</w:t>
      </w:r>
      <w:r w:rsidR="00B23B6C" w:rsidRPr="00161FFE">
        <w:rPr>
          <w:rFonts w:cs="Arial"/>
        </w:rPr>
        <w:t xml:space="preserve">. </w:t>
      </w:r>
      <w:r w:rsidRPr="00161FFE">
        <w:rPr>
          <w:rFonts w:cs="Arial"/>
        </w:rPr>
        <w:t xml:space="preserve">This income stream is being explored further as part of the services zero based budget review to ensure the fees and budget are set at </w:t>
      </w:r>
      <w:r w:rsidR="00CB3546" w:rsidRPr="00161FFE">
        <w:rPr>
          <w:rFonts w:cs="Arial"/>
        </w:rPr>
        <w:t xml:space="preserve">the correct level going forward. </w:t>
      </w:r>
    </w:p>
    <w:p w14:paraId="4CFDF8EB" w14:textId="77777777" w:rsidR="00431B9C" w:rsidRPr="00161FFE" w:rsidRDefault="00431B9C" w:rsidP="0049320F">
      <w:pPr>
        <w:tabs>
          <w:tab w:val="left" w:pos="851"/>
          <w:tab w:val="left" w:pos="1418"/>
        </w:tabs>
        <w:spacing w:after="0"/>
        <w:rPr>
          <w:rFonts w:cs="Arial"/>
          <w:b/>
        </w:rPr>
      </w:pPr>
    </w:p>
    <w:p w14:paraId="46432DA1" w14:textId="47C09504" w:rsidR="00431B9C" w:rsidRPr="00161FFE" w:rsidRDefault="00622590" w:rsidP="0049320F">
      <w:pPr>
        <w:autoSpaceDE/>
        <w:autoSpaceDN/>
        <w:adjustRightInd/>
        <w:spacing w:after="0"/>
        <w:rPr>
          <w:rFonts w:cs="Arial"/>
          <w:b/>
        </w:rPr>
      </w:pPr>
      <w:r w:rsidRPr="00161FFE">
        <w:rPr>
          <w:rFonts w:cs="Arial"/>
          <w:b/>
        </w:rPr>
        <w:t>3.4</w:t>
      </w:r>
      <w:r w:rsidR="00431B9C" w:rsidRPr="00161FFE">
        <w:rPr>
          <w:rFonts w:cs="Arial"/>
          <w:b/>
        </w:rPr>
        <w:t>.6</w:t>
      </w:r>
      <w:r w:rsidR="00431B9C" w:rsidRPr="00161FFE">
        <w:rPr>
          <w:rFonts w:cs="Arial"/>
          <w:b/>
        </w:rPr>
        <w:tab/>
        <w:t>Trading Standards &amp; Scientific Services</w:t>
      </w:r>
    </w:p>
    <w:p w14:paraId="1A3A66A9" w14:textId="77777777" w:rsidR="00431B9C" w:rsidRPr="00161FFE" w:rsidRDefault="00431B9C" w:rsidP="0049320F">
      <w:pPr>
        <w:tabs>
          <w:tab w:val="left" w:pos="851"/>
          <w:tab w:val="left" w:pos="1418"/>
        </w:tabs>
        <w:spacing w:after="0"/>
        <w:rPr>
          <w:rFonts w:cs="Arial"/>
          <w:color w:val="FF0000"/>
        </w:rPr>
      </w:pPr>
    </w:p>
    <w:p w14:paraId="4D812DD2" w14:textId="77777777" w:rsidR="00431B9C" w:rsidRPr="00161FFE" w:rsidRDefault="00431B9C" w:rsidP="0049320F">
      <w:pPr>
        <w:tabs>
          <w:tab w:val="left" w:pos="851"/>
          <w:tab w:val="left" w:pos="1418"/>
        </w:tabs>
        <w:spacing w:after="0"/>
        <w:rPr>
          <w:rFonts w:cs="Arial"/>
        </w:rPr>
      </w:pPr>
      <w:r w:rsidRPr="00161FFE">
        <w:rPr>
          <w:rFonts w:cs="Arial"/>
        </w:rPr>
        <w:t>The forecast position for 2016/17 includes a £0.117m contribution from non-recurrent reserves to support the scientific services equipment renewal programme and the trading standards improved outcomes work reinvesting crime proceeds into local crime reduction initiatives delivered via the service.</w:t>
      </w:r>
    </w:p>
    <w:p w14:paraId="0D7BA733" w14:textId="77777777" w:rsidR="009A6734" w:rsidRPr="00161FFE" w:rsidRDefault="009A6734" w:rsidP="0049320F">
      <w:pPr>
        <w:tabs>
          <w:tab w:val="left" w:pos="851"/>
          <w:tab w:val="left" w:pos="1418"/>
        </w:tabs>
        <w:spacing w:after="0"/>
        <w:rPr>
          <w:rFonts w:cs="Arial"/>
        </w:rPr>
      </w:pPr>
    </w:p>
    <w:p w14:paraId="5BCA191B" w14:textId="733208E2" w:rsidR="009A6734" w:rsidRPr="00161FFE" w:rsidRDefault="009A6734" w:rsidP="0049320F">
      <w:pPr>
        <w:tabs>
          <w:tab w:val="left" w:pos="851"/>
          <w:tab w:val="left" w:pos="1418"/>
        </w:tabs>
        <w:spacing w:after="0"/>
        <w:rPr>
          <w:rFonts w:cs="Arial"/>
          <w:color w:val="FF0000"/>
        </w:rPr>
      </w:pPr>
      <w:r w:rsidRPr="00161FFE">
        <w:rPr>
          <w:rFonts w:cs="Arial"/>
        </w:rPr>
        <w:t xml:space="preserve">The forecast also incorporates agreed budget savings of £0.363m. </w:t>
      </w:r>
    </w:p>
    <w:p w14:paraId="6FC7B59E" w14:textId="77777777" w:rsidR="00431B9C" w:rsidRPr="00161FFE" w:rsidRDefault="00431B9C" w:rsidP="0049320F">
      <w:pPr>
        <w:tabs>
          <w:tab w:val="left" w:pos="851"/>
          <w:tab w:val="left" w:pos="1418"/>
        </w:tabs>
        <w:spacing w:after="0"/>
        <w:rPr>
          <w:rFonts w:cs="Arial"/>
          <w:b/>
        </w:rPr>
      </w:pPr>
    </w:p>
    <w:p w14:paraId="5B8F508E" w14:textId="12EFB42B" w:rsidR="00431B9C" w:rsidRPr="00161FFE" w:rsidRDefault="00431B9C" w:rsidP="0049320F">
      <w:pPr>
        <w:pStyle w:val="ListParagraph"/>
        <w:numPr>
          <w:ilvl w:val="2"/>
          <w:numId w:val="35"/>
        </w:numPr>
        <w:autoSpaceDE/>
        <w:autoSpaceDN/>
        <w:adjustRightInd/>
        <w:spacing w:after="0"/>
        <w:rPr>
          <w:rFonts w:cs="Arial"/>
        </w:rPr>
      </w:pPr>
      <w:r w:rsidRPr="00161FFE">
        <w:rPr>
          <w:rFonts w:cs="Arial"/>
          <w:b/>
        </w:rPr>
        <w:t>Deputy Dir Public Health &amp; Consultants</w:t>
      </w:r>
    </w:p>
    <w:p w14:paraId="24122FA1" w14:textId="77777777" w:rsidR="00431B9C" w:rsidRPr="00161FFE" w:rsidRDefault="00431B9C" w:rsidP="0049320F">
      <w:pPr>
        <w:tabs>
          <w:tab w:val="left" w:pos="851"/>
          <w:tab w:val="left" w:pos="1418"/>
        </w:tabs>
        <w:spacing w:after="0"/>
        <w:rPr>
          <w:rFonts w:cs="Arial"/>
        </w:rPr>
      </w:pPr>
    </w:p>
    <w:p w14:paraId="68B9F75F" w14:textId="6FC21C7D" w:rsidR="00431B9C" w:rsidRPr="00161FFE" w:rsidRDefault="009A6734" w:rsidP="0049320F">
      <w:pPr>
        <w:tabs>
          <w:tab w:val="left" w:pos="851"/>
          <w:tab w:val="left" w:pos="1418"/>
        </w:tabs>
        <w:spacing w:after="0"/>
        <w:rPr>
          <w:rFonts w:cs="Arial"/>
          <w:color w:val="FF0000"/>
        </w:rPr>
      </w:pPr>
      <w:r w:rsidRPr="00161FFE">
        <w:rPr>
          <w:rFonts w:cs="Arial"/>
        </w:rPr>
        <w:t xml:space="preserve">This service is </w:t>
      </w:r>
      <w:r w:rsidR="003945E0" w:rsidRPr="00161FFE">
        <w:rPr>
          <w:rFonts w:cs="Arial"/>
        </w:rPr>
        <w:t xml:space="preserve">forecast to </w:t>
      </w:r>
      <w:r w:rsidRPr="00161FFE">
        <w:rPr>
          <w:rFonts w:cs="Arial"/>
        </w:rPr>
        <w:t>underspend as a result of s</w:t>
      </w:r>
      <w:r w:rsidR="00431B9C" w:rsidRPr="00161FFE">
        <w:rPr>
          <w:rFonts w:cs="Arial"/>
        </w:rPr>
        <w:t>taffing savings of £0.140m within the management structure due to consultant vacancies and delayed utilisation of this funding in the service staffing redesign.</w:t>
      </w:r>
    </w:p>
    <w:p w14:paraId="4153E715" w14:textId="77777777" w:rsidR="00431B9C" w:rsidRPr="00161FFE" w:rsidRDefault="00431B9C" w:rsidP="0049320F">
      <w:pPr>
        <w:autoSpaceDE/>
        <w:autoSpaceDN/>
        <w:adjustRightInd/>
        <w:spacing w:after="0"/>
        <w:rPr>
          <w:rFonts w:cs="Arial"/>
          <w:b/>
        </w:rPr>
      </w:pPr>
      <w:r w:rsidRPr="00161FFE">
        <w:rPr>
          <w:rFonts w:cs="Arial"/>
          <w:b/>
        </w:rPr>
        <w:br w:type="page"/>
      </w:r>
    </w:p>
    <w:p w14:paraId="183FD75B" w14:textId="106774C2" w:rsidR="00431B9C" w:rsidRDefault="00622590" w:rsidP="0049320F">
      <w:pPr>
        <w:tabs>
          <w:tab w:val="left" w:pos="851"/>
          <w:tab w:val="left" w:pos="1418"/>
        </w:tabs>
        <w:spacing w:after="0"/>
        <w:rPr>
          <w:b/>
        </w:rPr>
      </w:pPr>
      <w:r>
        <w:rPr>
          <w:b/>
        </w:rPr>
        <w:lastRenderedPageBreak/>
        <w:t>3.5</w:t>
      </w:r>
      <w:r w:rsidR="00431B9C">
        <w:rPr>
          <w:b/>
        </w:rPr>
        <w:tab/>
        <w:t>Development and Corporate Services</w:t>
      </w:r>
    </w:p>
    <w:p w14:paraId="64357A26" w14:textId="77777777" w:rsidR="00431B9C" w:rsidRDefault="00431B9C" w:rsidP="0049320F">
      <w:pPr>
        <w:tabs>
          <w:tab w:val="left" w:pos="851"/>
          <w:tab w:val="left" w:pos="1418"/>
        </w:tabs>
        <w:spacing w:after="0"/>
        <w:rPr>
          <w:rFonts w:cs="Arial"/>
        </w:rPr>
      </w:pPr>
    </w:p>
    <w:tbl>
      <w:tblPr>
        <w:tblW w:w="9087" w:type="dxa"/>
        <w:tblLook w:val="04A0" w:firstRow="1" w:lastRow="0" w:firstColumn="1" w:lastColumn="0" w:noHBand="0" w:noVBand="1"/>
      </w:tblPr>
      <w:tblGrid>
        <w:gridCol w:w="837"/>
        <w:gridCol w:w="3921"/>
        <w:gridCol w:w="1445"/>
        <w:gridCol w:w="1442"/>
        <w:gridCol w:w="1442"/>
      </w:tblGrid>
      <w:tr w:rsidR="00431B9C" w:rsidRPr="00BB6003" w14:paraId="53C9C063" w14:textId="77777777" w:rsidTr="00431B9C">
        <w:trPr>
          <w:trHeight w:val="1044"/>
        </w:trPr>
        <w:tc>
          <w:tcPr>
            <w:tcW w:w="837" w:type="dxa"/>
            <w:tcBorders>
              <w:top w:val="single" w:sz="4" w:space="0" w:color="auto"/>
              <w:left w:val="single" w:sz="4" w:space="0" w:color="auto"/>
              <w:bottom w:val="nil"/>
              <w:right w:val="single" w:sz="4" w:space="0" w:color="auto"/>
            </w:tcBorders>
            <w:shd w:val="clear" w:color="000000" w:fill="D9D9D9"/>
            <w:vAlign w:val="bottom"/>
            <w:hideMark/>
          </w:tcPr>
          <w:p w14:paraId="729BF791" w14:textId="77777777" w:rsidR="00431B9C" w:rsidRPr="00BB6003" w:rsidRDefault="00431B9C" w:rsidP="0049320F">
            <w:pPr>
              <w:autoSpaceDE/>
              <w:autoSpaceDN/>
              <w:adjustRightInd/>
              <w:spacing w:after="0"/>
              <w:rPr>
                <w:rFonts w:eastAsia="Times New Roman" w:cs="Arial"/>
                <w:b/>
                <w:bCs/>
                <w:sz w:val="20"/>
                <w:szCs w:val="20"/>
                <w:lang w:eastAsia="en-GB"/>
              </w:rPr>
            </w:pPr>
            <w:r w:rsidRPr="00BB6003">
              <w:rPr>
                <w:rFonts w:eastAsia="Times New Roman" w:cs="Arial"/>
                <w:b/>
                <w:bCs/>
                <w:sz w:val="20"/>
                <w:szCs w:val="20"/>
                <w:lang w:eastAsia="en-GB"/>
              </w:rPr>
              <w:t>Ref</w:t>
            </w:r>
          </w:p>
        </w:tc>
        <w:tc>
          <w:tcPr>
            <w:tcW w:w="3921" w:type="dxa"/>
            <w:tcBorders>
              <w:top w:val="single" w:sz="4" w:space="0" w:color="auto"/>
              <w:left w:val="nil"/>
              <w:bottom w:val="nil"/>
              <w:right w:val="single" w:sz="4" w:space="0" w:color="auto"/>
            </w:tcBorders>
            <w:shd w:val="clear" w:color="000000" w:fill="D9D9D9"/>
            <w:vAlign w:val="bottom"/>
            <w:hideMark/>
          </w:tcPr>
          <w:p w14:paraId="647567DD" w14:textId="77777777" w:rsidR="00431B9C" w:rsidRPr="00BB6003" w:rsidRDefault="00431B9C" w:rsidP="0049320F">
            <w:pPr>
              <w:autoSpaceDE/>
              <w:autoSpaceDN/>
              <w:adjustRightInd/>
              <w:spacing w:after="0"/>
              <w:rPr>
                <w:rFonts w:eastAsia="Times New Roman" w:cs="Arial"/>
                <w:b/>
                <w:bCs/>
                <w:sz w:val="20"/>
                <w:szCs w:val="20"/>
                <w:lang w:eastAsia="en-GB"/>
              </w:rPr>
            </w:pPr>
            <w:r w:rsidRPr="00BB6003">
              <w:rPr>
                <w:rFonts w:eastAsia="Times New Roman" w:cs="Arial"/>
                <w:b/>
                <w:bCs/>
                <w:sz w:val="20"/>
                <w:szCs w:val="20"/>
                <w:lang w:eastAsia="en-GB"/>
              </w:rPr>
              <w:t>HEAD OF SERVICE</w:t>
            </w:r>
          </w:p>
        </w:tc>
        <w:tc>
          <w:tcPr>
            <w:tcW w:w="1445" w:type="dxa"/>
            <w:tcBorders>
              <w:top w:val="single" w:sz="4" w:space="0" w:color="auto"/>
              <w:left w:val="nil"/>
              <w:bottom w:val="nil"/>
              <w:right w:val="single" w:sz="4" w:space="0" w:color="auto"/>
            </w:tcBorders>
            <w:shd w:val="clear" w:color="000000" w:fill="D9D9D9"/>
            <w:vAlign w:val="bottom"/>
            <w:hideMark/>
          </w:tcPr>
          <w:p w14:paraId="071E8299" w14:textId="77777777" w:rsidR="00431B9C" w:rsidRPr="00BB6003" w:rsidRDefault="00431B9C" w:rsidP="0049320F">
            <w:pPr>
              <w:autoSpaceDE/>
              <w:autoSpaceDN/>
              <w:adjustRightInd/>
              <w:spacing w:after="0"/>
              <w:rPr>
                <w:rFonts w:eastAsia="Times New Roman" w:cs="Arial"/>
                <w:b/>
                <w:bCs/>
                <w:sz w:val="20"/>
                <w:szCs w:val="20"/>
                <w:lang w:eastAsia="en-GB"/>
              </w:rPr>
            </w:pPr>
            <w:r w:rsidRPr="00BB6003">
              <w:rPr>
                <w:rFonts w:eastAsia="Times New Roman" w:cs="Arial"/>
                <w:b/>
                <w:bCs/>
                <w:sz w:val="20"/>
                <w:szCs w:val="20"/>
                <w:lang w:eastAsia="en-GB"/>
              </w:rPr>
              <w:t>Approved Budget</w:t>
            </w:r>
          </w:p>
        </w:tc>
        <w:tc>
          <w:tcPr>
            <w:tcW w:w="1442" w:type="dxa"/>
            <w:tcBorders>
              <w:top w:val="single" w:sz="4" w:space="0" w:color="auto"/>
              <w:left w:val="nil"/>
              <w:bottom w:val="nil"/>
              <w:right w:val="single" w:sz="4" w:space="0" w:color="auto"/>
            </w:tcBorders>
            <w:shd w:val="clear" w:color="000000" w:fill="D9D9D9"/>
            <w:vAlign w:val="bottom"/>
            <w:hideMark/>
          </w:tcPr>
          <w:p w14:paraId="3884DDFB" w14:textId="77777777" w:rsidR="00431B9C" w:rsidRPr="00BB6003" w:rsidRDefault="00431B9C" w:rsidP="0049320F">
            <w:pPr>
              <w:autoSpaceDE/>
              <w:autoSpaceDN/>
              <w:adjustRightInd/>
              <w:spacing w:after="0"/>
              <w:rPr>
                <w:rFonts w:eastAsia="Times New Roman" w:cs="Arial"/>
                <w:b/>
                <w:bCs/>
                <w:sz w:val="20"/>
                <w:szCs w:val="20"/>
                <w:lang w:eastAsia="en-GB"/>
              </w:rPr>
            </w:pPr>
            <w:r w:rsidRPr="00BB6003">
              <w:rPr>
                <w:rFonts w:eastAsia="Times New Roman" w:cs="Arial"/>
                <w:b/>
                <w:bCs/>
                <w:sz w:val="20"/>
                <w:szCs w:val="20"/>
                <w:lang w:eastAsia="en-GB"/>
              </w:rPr>
              <w:t>Current Period Forecast Outturn</w:t>
            </w:r>
          </w:p>
        </w:tc>
        <w:tc>
          <w:tcPr>
            <w:tcW w:w="1442" w:type="dxa"/>
            <w:tcBorders>
              <w:top w:val="single" w:sz="4" w:space="0" w:color="auto"/>
              <w:left w:val="nil"/>
              <w:bottom w:val="nil"/>
              <w:right w:val="single" w:sz="4" w:space="0" w:color="auto"/>
            </w:tcBorders>
            <w:shd w:val="clear" w:color="000000" w:fill="D9D9D9"/>
            <w:vAlign w:val="bottom"/>
            <w:hideMark/>
          </w:tcPr>
          <w:p w14:paraId="5C44BB13" w14:textId="77777777" w:rsidR="00431B9C" w:rsidRPr="00BB6003" w:rsidRDefault="00431B9C" w:rsidP="0049320F">
            <w:pPr>
              <w:autoSpaceDE/>
              <w:autoSpaceDN/>
              <w:adjustRightInd/>
              <w:spacing w:after="0"/>
              <w:rPr>
                <w:rFonts w:eastAsia="Times New Roman" w:cs="Arial"/>
                <w:b/>
                <w:bCs/>
                <w:sz w:val="20"/>
                <w:szCs w:val="20"/>
                <w:lang w:eastAsia="en-GB"/>
              </w:rPr>
            </w:pPr>
            <w:r w:rsidRPr="00BB6003">
              <w:rPr>
                <w:rFonts w:eastAsia="Times New Roman" w:cs="Arial"/>
                <w:b/>
                <w:bCs/>
                <w:sz w:val="20"/>
                <w:szCs w:val="20"/>
                <w:lang w:eastAsia="en-GB"/>
              </w:rPr>
              <w:t>Current Period Forecast Variance</w:t>
            </w:r>
          </w:p>
        </w:tc>
      </w:tr>
      <w:tr w:rsidR="00431B9C" w:rsidRPr="00BB6003" w14:paraId="4869931F" w14:textId="77777777" w:rsidTr="00431B9C">
        <w:trPr>
          <w:trHeight w:val="261"/>
        </w:trPr>
        <w:tc>
          <w:tcPr>
            <w:tcW w:w="837" w:type="dxa"/>
            <w:tcBorders>
              <w:top w:val="nil"/>
              <w:left w:val="single" w:sz="4" w:space="0" w:color="auto"/>
              <w:bottom w:val="single" w:sz="4" w:space="0" w:color="auto"/>
              <w:right w:val="single" w:sz="4" w:space="0" w:color="auto"/>
            </w:tcBorders>
            <w:shd w:val="clear" w:color="000000" w:fill="D9D9D9"/>
            <w:vAlign w:val="bottom"/>
            <w:hideMark/>
          </w:tcPr>
          <w:p w14:paraId="7DE672CC" w14:textId="77777777" w:rsidR="00431B9C" w:rsidRPr="00BB6003" w:rsidRDefault="00431B9C" w:rsidP="0049320F">
            <w:pPr>
              <w:autoSpaceDE/>
              <w:autoSpaceDN/>
              <w:adjustRightInd/>
              <w:spacing w:after="0"/>
              <w:rPr>
                <w:rFonts w:eastAsia="Times New Roman" w:cs="Arial"/>
                <w:b/>
                <w:bCs/>
                <w:sz w:val="20"/>
                <w:szCs w:val="20"/>
                <w:lang w:eastAsia="en-GB"/>
              </w:rPr>
            </w:pPr>
            <w:r w:rsidRPr="00BB6003">
              <w:rPr>
                <w:rFonts w:eastAsia="Times New Roman" w:cs="Arial"/>
                <w:b/>
                <w:bCs/>
                <w:sz w:val="20"/>
                <w:szCs w:val="20"/>
                <w:lang w:eastAsia="en-GB"/>
              </w:rPr>
              <w:t> </w:t>
            </w:r>
          </w:p>
        </w:tc>
        <w:tc>
          <w:tcPr>
            <w:tcW w:w="3921" w:type="dxa"/>
            <w:tcBorders>
              <w:top w:val="nil"/>
              <w:left w:val="nil"/>
              <w:bottom w:val="single" w:sz="4" w:space="0" w:color="auto"/>
              <w:right w:val="single" w:sz="4" w:space="0" w:color="auto"/>
            </w:tcBorders>
            <w:shd w:val="clear" w:color="000000" w:fill="D9D9D9"/>
            <w:vAlign w:val="bottom"/>
            <w:hideMark/>
          </w:tcPr>
          <w:p w14:paraId="0CCEFE57" w14:textId="77777777" w:rsidR="00431B9C" w:rsidRPr="00BB6003" w:rsidRDefault="00431B9C" w:rsidP="0049320F">
            <w:pPr>
              <w:autoSpaceDE/>
              <w:autoSpaceDN/>
              <w:adjustRightInd/>
              <w:spacing w:after="0"/>
              <w:rPr>
                <w:rFonts w:eastAsia="Times New Roman" w:cs="Arial"/>
                <w:b/>
                <w:bCs/>
                <w:sz w:val="20"/>
                <w:szCs w:val="20"/>
                <w:lang w:eastAsia="en-GB"/>
              </w:rPr>
            </w:pPr>
            <w:r w:rsidRPr="00BB6003">
              <w:rPr>
                <w:rFonts w:eastAsia="Times New Roman" w:cs="Arial"/>
                <w:b/>
                <w:bCs/>
                <w:sz w:val="20"/>
                <w:szCs w:val="20"/>
                <w:lang w:eastAsia="en-GB"/>
              </w:rPr>
              <w:t> </w:t>
            </w:r>
          </w:p>
        </w:tc>
        <w:tc>
          <w:tcPr>
            <w:tcW w:w="1445" w:type="dxa"/>
            <w:tcBorders>
              <w:top w:val="nil"/>
              <w:left w:val="nil"/>
              <w:bottom w:val="single" w:sz="4" w:space="0" w:color="auto"/>
              <w:right w:val="single" w:sz="4" w:space="0" w:color="auto"/>
            </w:tcBorders>
            <w:shd w:val="clear" w:color="000000" w:fill="D9D9D9"/>
            <w:vAlign w:val="bottom"/>
            <w:hideMark/>
          </w:tcPr>
          <w:p w14:paraId="7BFFF764" w14:textId="77777777" w:rsidR="00431B9C" w:rsidRPr="00BB6003" w:rsidRDefault="00431B9C" w:rsidP="0049320F">
            <w:pPr>
              <w:autoSpaceDE/>
              <w:autoSpaceDN/>
              <w:adjustRightInd/>
              <w:spacing w:after="0"/>
              <w:rPr>
                <w:rFonts w:eastAsia="Times New Roman" w:cs="Arial"/>
                <w:b/>
                <w:bCs/>
                <w:sz w:val="20"/>
                <w:szCs w:val="20"/>
                <w:lang w:eastAsia="en-GB"/>
              </w:rPr>
            </w:pPr>
            <w:r w:rsidRPr="00BB6003">
              <w:rPr>
                <w:rFonts w:eastAsia="Times New Roman" w:cs="Arial"/>
                <w:b/>
                <w:bCs/>
                <w:sz w:val="20"/>
                <w:szCs w:val="20"/>
                <w:lang w:eastAsia="en-GB"/>
              </w:rPr>
              <w:t>£m</w:t>
            </w:r>
          </w:p>
        </w:tc>
        <w:tc>
          <w:tcPr>
            <w:tcW w:w="1442" w:type="dxa"/>
            <w:tcBorders>
              <w:top w:val="nil"/>
              <w:left w:val="nil"/>
              <w:bottom w:val="single" w:sz="4" w:space="0" w:color="auto"/>
              <w:right w:val="single" w:sz="4" w:space="0" w:color="auto"/>
            </w:tcBorders>
            <w:shd w:val="clear" w:color="000000" w:fill="D9D9D9"/>
            <w:vAlign w:val="bottom"/>
            <w:hideMark/>
          </w:tcPr>
          <w:p w14:paraId="25C2A27A" w14:textId="77777777" w:rsidR="00431B9C" w:rsidRPr="00BB6003" w:rsidRDefault="00431B9C" w:rsidP="0049320F">
            <w:pPr>
              <w:autoSpaceDE/>
              <w:autoSpaceDN/>
              <w:adjustRightInd/>
              <w:spacing w:after="0"/>
              <w:rPr>
                <w:rFonts w:eastAsia="Times New Roman" w:cs="Arial"/>
                <w:b/>
                <w:bCs/>
                <w:sz w:val="20"/>
                <w:szCs w:val="20"/>
                <w:lang w:eastAsia="en-GB"/>
              </w:rPr>
            </w:pPr>
            <w:r w:rsidRPr="00BB6003">
              <w:rPr>
                <w:rFonts w:eastAsia="Times New Roman" w:cs="Arial"/>
                <w:b/>
                <w:bCs/>
                <w:sz w:val="20"/>
                <w:szCs w:val="20"/>
                <w:lang w:eastAsia="en-GB"/>
              </w:rPr>
              <w:t>£m</w:t>
            </w:r>
          </w:p>
        </w:tc>
        <w:tc>
          <w:tcPr>
            <w:tcW w:w="1442" w:type="dxa"/>
            <w:tcBorders>
              <w:top w:val="nil"/>
              <w:left w:val="nil"/>
              <w:bottom w:val="single" w:sz="4" w:space="0" w:color="auto"/>
              <w:right w:val="single" w:sz="4" w:space="0" w:color="auto"/>
            </w:tcBorders>
            <w:shd w:val="clear" w:color="000000" w:fill="D9D9D9"/>
            <w:vAlign w:val="bottom"/>
            <w:hideMark/>
          </w:tcPr>
          <w:p w14:paraId="36DFF292" w14:textId="77777777" w:rsidR="00431B9C" w:rsidRPr="00BB6003" w:rsidRDefault="00431B9C" w:rsidP="0049320F">
            <w:pPr>
              <w:autoSpaceDE/>
              <w:autoSpaceDN/>
              <w:adjustRightInd/>
              <w:spacing w:after="0"/>
              <w:rPr>
                <w:rFonts w:eastAsia="Times New Roman" w:cs="Arial"/>
                <w:b/>
                <w:bCs/>
                <w:sz w:val="20"/>
                <w:szCs w:val="20"/>
                <w:lang w:eastAsia="en-GB"/>
              </w:rPr>
            </w:pPr>
            <w:r w:rsidRPr="00BB6003">
              <w:rPr>
                <w:rFonts w:eastAsia="Times New Roman" w:cs="Arial"/>
                <w:b/>
                <w:bCs/>
                <w:sz w:val="20"/>
                <w:szCs w:val="20"/>
                <w:lang w:eastAsia="en-GB"/>
              </w:rPr>
              <w:t>£m</w:t>
            </w:r>
          </w:p>
        </w:tc>
      </w:tr>
      <w:tr w:rsidR="00431B9C" w:rsidRPr="00BB6003" w14:paraId="188349CD" w14:textId="77777777" w:rsidTr="00431B9C">
        <w:trPr>
          <w:trHeight w:val="261"/>
        </w:trPr>
        <w:tc>
          <w:tcPr>
            <w:tcW w:w="837" w:type="dxa"/>
            <w:tcBorders>
              <w:top w:val="nil"/>
              <w:left w:val="single" w:sz="4" w:space="0" w:color="auto"/>
              <w:bottom w:val="single" w:sz="4" w:space="0" w:color="auto"/>
              <w:right w:val="single" w:sz="4" w:space="0" w:color="auto"/>
            </w:tcBorders>
            <w:shd w:val="clear" w:color="000000" w:fill="FFFFFF"/>
            <w:noWrap/>
            <w:hideMark/>
          </w:tcPr>
          <w:p w14:paraId="153DDC10" w14:textId="11076750" w:rsidR="00431B9C" w:rsidRPr="00BB6003" w:rsidRDefault="00622590" w:rsidP="0049320F">
            <w:pPr>
              <w:autoSpaceDE/>
              <w:autoSpaceDN/>
              <w:adjustRightInd/>
              <w:spacing w:after="0"/>
              <w:rPr>
                <w:rFonts w:eastAsia="Times New Roman" w:cs="Arial"/>
                <w:b/>
                <w:bCs/>
                <w:sz w:val="20"/>
                <w:szCs w:val="20"/>
                <w:lang w:eastAsia="en-GB"/>
              </w:rPr>
            </w:pPr>
            <w:r>
              <w:rPr>
                <w:rFonts w:eastAsia="Times New Roman" w:cs="Arial"/>
                <w:b/>
                <w:bCs/>
                <w:sz w:val="20"/>
                <w:szCs w:val="20"/>
                <w:lang w:eastAsia="en-GB"/>
              </w:rPr>
              <w:t>3.5</w:t>
            </w:r>
            <w:r w:rsidR="00431B9C" w:rsidRPr="00BB6003">
              <w:rPr>
                <w:rFonts w:eastAsia="Times New Roman" w:cs="Arial"/>
                <w:b/>
                <w:bCs/>
                <w:sz w:val="20"/>
                <w:szCs w:val="20"/>
                <w:lang w:eastAsia="en-GB"/>
              </w:rPr>
              <w:t>.1</w:t>
            </w:r>
          </w:p>
        </w:tc>
        <w:tc>
          <w:tcPr>
            <w:tcW w:w="3921" w:type="dxa"/>
            <w:tcBorders>
              <w:top w:val="nil"/>
              <w:left w:val="nil"/>
              <w:bottom w:val="single" w:sz="4" w:space="0" w:color="auto"/>
              <w:right w:val="single" w:sz="4" w:space="0" w:color="auto"/>
            </w:tcBorders>
            <w:shd w:val="clear" w:color="000000" w:fill="FFFFFF"/>
            <w:hideMark/>
          </w:tcPr>
          <w:p w14:paraId="01301673" w14:textId="77777777" w:rsidR="00431B9C" w:rsidRPr="00BB6003" w:rsidRDefault="00431B9C" w:rsidP="00F33AA4">
            <w:pPr>
              <w:autoSpaceDE/>
              <w:autoSpaceDN/>
              <w:adjustRightInd/>
              <w:spacing w:after="0"/>
              <w:jc w:val="left"/>
              <w:rPr>
                <w:rFonts w:eastAsia="Times New Roman" w:cs="Arial"/>
                <w:sz w:val="20"/>
                <w:szCs w:val="20"/>
                <w:lang w:eastAsia="en-GB"/>
              </w:rPr>
            </w:pPr>
            <w:r>
              <w:rPr>
                <w:rFonts w:cs="Arial"/>
                <w:sz w:val="20"/>
                <w:szCs w:val="20"/>
              </w:rPr>
              <w:t>DEVELOPMENT AND CORPORATE SERVICES</w:t>
            </w:r>
          </w:p>
        </w:tc>
        <w:tc>
          <w:tcPr>
            <w:tcW w:w="1445" w:type="dxa"/>
            <w:tcBorders>
              <w:top w:val="nil"/>
              <w:left w:val="nil"/>
              <w:bottom w:val="single" w:sz="4" w:space="0" w:color="auto"/>
              <w:right w:val="single" w:sz="4" w:space="0" w:color="auto"/>
            </w:tcBorders>
            <w:shd w:val="clear" w:color="000000" w:fill="FFFFFF"/>
            <w:hideMark/>
          </w:tcPr>
          <w:p w14:paraId="2CD9FBF1" w14:textId="77777777" w:rsidR="00431B9C" w:rsidRPr="00BB6003" w:rsidRDefault="00431B9C" w:rsidP="0049320F">
            <w:pPr>
              <w:autoSpaceDE/>
              <w:autoSpaceDN/>
              <w:adjustRightInd/>
              <w:spacing w:after="0"/>
              <w:rPr>
                <w:rFonts w:eastAsia="Times New Roman" w:cs="Arial"/>
                <w:sz w:val="20"/>
                <w:szCs w:val="20"/>
                <w:lang w:eastAsia="en-GB"/>
              </w:rPr>
            </w:pPr>
            <w:r>
              <w:rPr>
                <w:rFonts w:cs="Arial"/>
                <w:sz w:val="20"/>
                <w:szCs w:val="20"/>
              </w:rPr>
              <w:t xml:space="preserve">0.171 </w:t>
            </w:r>
          </w:p>
        </w:tc>
        <w:tc>
          <w:tcPr>
            <w:tcW w:w="1442" w:type="dxa"/>
            <w:tcBorders>
              <w:top w:val="nil"/>
              <w:left w:val="nil"/>
              <w:bottom w:val="single" w:sz="4" w:space="0" w:color="auto"/>
              <w:right w:val="single" w:sz="4" w:space="0" w:color="auto"/>
            </w:tcBorders>
            <w:shd w:val="clear" w:color="000000" w:fill="FFFFFF"/>
            <w:hideMark/>
          </w:tcPr>
          <w:p w14:paraId="41A30EF0" w14:textId="77777777" w:rsidR="00431B9C" w:rsidRPr="00BB6003" w:rsidRDefault="00431B9C" w:rsidP="0049320F">
            <w:pPr>
              <w:autoSpaceDE/>
              <w:autoSpaceDN/>
              <w:adjustRightInd/>
              <w:spacing w:after="0"/>
              <w:rPr>
                <w:rFonts w:eastAsia="Times New Roman" w:cs="Arial"/>
                <w:sz w:val="20"/>
                <w:szCs w:val="20"/>
                <w:lang w:eastAsia="en-GB"/>
              </w:rPr>
            </w:pPr>
            <w:r>
              <w:rPr>
                <w:rFonts w:cs="Arial"/>
                <w:sz w:val="20"/>
                <w:szCs w:val="20"/>
              </w:rPr>
              <w:t xml:space="preserve">0.171 </w:t>
            </w:r>
          </w:p>
        </w:tc>
        <w:tc>
          <w:tcPr>
            <w:tcW w:w="1442" w:type="dxa"/>
            <w:tcBorders>
              <w:top w:val="nil"/>
              <w:left w:val="nil"/>
              <w:bottom w:val="single" w:sz="4" w:space="0" w:color="auto"/>
              <w:right w:val="single" w:sz="4" w:space="0" w:color="auto"/>
            </w:tcBorders>
            <w:shd w:val="clear" w:color="000000" w:fill="FFFFFF"/>
            <w:hideMark/>
          </w:tcPr>
          <w:p w14:paraId="2780EFFB" w14:textId="77777777" w:rsidR="00431B9C" w:rsidRPr="00BB6003" w:rsidRDefault="00431B9C" w:rsidP="0049320F">
            <w:pPr>
              <w:autoSpaceDE/>
              <w:autoSpaceDN/>
              <w:adjustRightInd/>
              <w:spacing w:after="0"/>
              <w:rPr>
                <w:rFonts w:eastAsia="Times New Roman" w:cs="Arial"/>
                <w:sz w:val="20"/>
                <w:szCs w:val="20"/>
                <w:lang w:eastAsia="en-GB"/>
              </w:rPr>
            </w:pPr>
            <w:r>
              <w:rPr>
                <w:rFonts w:cs="Arial"/>
                <w:sz w:val="20"/>
                <w:szCs w:val="20"/>
              </w:rPr>
              <w:t xml:space="preserve">0.000 </w:t>
            </w:r>
          </w:p>
        </w:tc>
      </w:tr>
      <w:tr w:rsidR="00431B9C" w:rsidRPr="00BB6003" w14:paraId="0F4282C7" w14:textId="77777777" w:rsidTr="00431B9C">
        <w:trPr>
          <w:trHeight w:val="522"/>
        </w:trPr>
        <w:tc>
          <w:tcPr>
            <w:tcW w:w="837" w:type="dxa"/>
            <w:tcBorders>
              <w:top w:val="nil"/>
              <w:left w:val="single" w:sz="4" w:space="0" w:color="auto"/>
              <w:bottom w:val="single" w:sz="4" w:space="0" w:color="auto"/>
              <w:right w:val="single" w:sz="4" w:space="0" w:color="auto"/>
            </w:tcBorders>
            <w:shd w:val="clear" w:color="000000" w:fill="FFFFFF"/>
            <w:noWrap/>
            <w:hideMark/>
          </w:tcPr>
          <w:p w14:paraId="7FB2FA3C" w14:textId="4B42783F" w:rsidR="00431B9C" w:rsidRPr="00BB6003" w:rsidRDefault="00622590" w:rsidP="0049320F">
            <w:pPr>
              <w:autoSpaceDE/>
              <w:autoSpaceDN/>
              <w:adjustRightInd/>
              <w:spacing w:after="0"/>
              <w:rPr>
                <w:rFonts w:eastAsia="Times New Roman" w:cs="Arial"/>
                <w:b/>
                <w:bCs/>
                <w:sz w:val="20"/>
                <w:szCs w:val="20"/>
                <w:lang w:eastAsia="en-GB"/>
              </w:rPr>
            </w:pPr>
            <w:r>
              <w:rPr>
                <w:rFonts w:eastAsia="Times New Roman" w:cs="Arial"/>
                <w:b/>
                <w:bCs/>
                <w:sz w:val="20"/>
                <w:szCs w:val="20"/>
                <w:lang w:eastAsia="en-GB"/>
              </w:rPr>
              <w:t>3.5</w:t>
            </w:r>
            <w:r w:rsidR="00431B9C" w:rsidRPr="00BB6003">
              <w:rPr>
                <w:rFonts w:eastAsia="Times New Roman" w:cs="Arial"/>
                <w:b/>
                <w:bCs/>
                <w:sz w:val="20"/>
                <w:szCs w:val="20"/>
                <w:lang w:eastAsia="en-GB"/>
              </w:rPr>
              <w:t>.2</w:t>
            </w:r>
          </w:p>
        </w:tc>
        <w:tc>
          <w:tcPr>
            <w:tcW w:w="3921" w:type="dxa"/>
            <w:tcBorders>
              <w:top w:val="nil"/>
              <w:left w:val="nil"/>
              <w:bottom w:val="single" w:sz="4" w:space="0" w:color="auto"/>
              <w:right w:val="single" w:sz="4" w:space="0" w:color="auto"/>
            </w:tcBorders>
            <w:shd w:val="clear" w:color="000000" w:fill="FFFFFF"/>
            <w:hideMark/>
          </w:tcPr>
          <w:p w14:paraId="1036DBEB" w14:textId="77777777" w:rsidR="00431B9C" w:rsidRPr="00BB6003" w:rsidRDefault="00431B9C" w:rsidP="00F33AA4">
            <w:pPr>
              <w:autoSpaceDE/>
              <w:autoSpaceDN/>
              <w:adjustRightInd/>
              <w:spacing w:after="0"/>
              <w:jc w:val="left"/>
              <w:rPr>
                <w:rFonts w:eastAsia="Times New Roman" w:cs="Arial"/>
                <w:sz w:val="20"/>
                <w:szCs w:val="20"/>
                <w:lang w:eastAsia="en-GB"/>
              </w:rPr>
            </w:pPr>
            <w:r>
              <w:rPr>
                <w:rFonts w:cs="Arial"/>
                <w:sz w:val="20"/>
                <w:szCs w:val="20"/>
              </w:rPr>
              <w:t>LANCASHIRE ADULT LEARNING</w:t>
            </w:r>
          </w:p>
        </w:tc>
        <w:tc>
          <w:tcPr>
            <w:tcW w:w="1445" w:type="dxa"/>
            <w:tcBorders>
              <w:top w:val="nil"/>
              <w:left w:val="nil"/>
              <w:bottom w:val="single" w:sz="4" w:space="0" w:color="auto"/>
              <w:right w:val="single" w:sz="4" w:space="0" w:color="auto"/>
            </w:tcBorders>
            <w:shd w:val="clear" w:color="000000" w:fill="FFFFFF"/>
            <w:hideMark/>
          </w:tcPr>
          <w:p w14:paraId="239F6D43" w14:textId="50DA32E2" w:rsidR="00431B9C" w:rsidRPr="00BB6003" w:rsidRDefault="00C95E08" w:rsidP="0049320F">
            <w:pPr>
              <w:autoSpaceDE/>
              <w:autoSpaceDN/>
              <w:adjustRightInd/>
              <w:spacing w:after="0"/>
              <w:rPr>
                <w:rFonts w:eastAsia="Times New Roman" w:cs="Arial"/>
                <w:sz w:val="20"/>
                <w:szCs w:val="20"/>
                <w:lang w:eastAsia="en-GB"/>
              </w:rPr>
            </w:pPr>
            <w:r>
              <w:rPr>
                <w:rFonts w:cs="Arial"/>
                <w:sz w:val="20"/>
                <w:szCs w:val="20"/>
              </w:rPr>
              <w:t>-0.076</w:t>
            </w:r>
            <w:r w:rsidR="00431B9C">
              <w:rPr>
                <w:rFonts w:cs="Arial"/>
                <w:sz w:val="20"/>
                <w:szCs w:val="20"/>
              </w:rPr>
              <w:t xml:space="preserve"> </w:t>
            </w:r>
          </w:p>
        </w:tc>
        <w:tc>
          <w:tcPr>
            <w:tcW w:w="1442" w:type="dxa"/>
            <w:tcBorders>
              <w:top w:val="nil"/>
              <w:left w:val="nil"/>
              <w:bottom w:val="single" w:sz="4" w:space="0" w:color="auto"/>
              <w:right w:val="single" w:sz="4" w:space="0" w:color="auto"/>
            </w:tcBorders>
            <w:shd w:val="clear" w:color="000000" w:fill="FFFFFF"/>
            <w:hideMark/>
          </w:tcPr>
          <w:p w14:paraId="362F613B" w14:textId="4A6399A0" w:rsidR="00431B9C" w:rsidRPr="00BB6003" w:rsidRDefault="00C95E08" w:rsidP="0049320F">
            <w:pPr>
              <w:autoSpaceDE/>
              <w:autoSpaceDN/>
              <w:adjustRightInd/>
              <w:spacing w:after="0"/>
              <w:rPr>
                <w:rFonts w:eastAsia="Times New Roman" w:cs="Arial"/>
                <w:sz w:val="20"/>
                <w:szCs w:val="20"/>
                <w:lang w:eastAsia="en-GB"/>
              </w:rPr>
            </w:pPr>
            <w:r>
              <w:rPr>
                <w:rFonts w:cs="Arial"/>
                <w:sz w:val="20"/>
                <w:szCs w:val="20"/>
              </w:rPr>
              <w:t>-0.076</w:t>
            </w:r>
          </w:p>
        </w:tc>
        <w:tc>
          <w:tcPr>
            <w:tcW w:w="1442" w:type="dxa"/>
            <w:tcBorders>
              <w:top w:val="nil"/>
              <w:left w:val="nil"/>
              <w:bottom w:val="single" w:sz="4" w:space="0" w:color="auto"/>
              <w:right w:val="single" w:sz="4" w:space="0" w:color="auto"/>
            </w:tcBorders>
            <w:shd w:val="clear" w:color="000000" w:fill="FFFFFF"/>
            <w:hideMark/>
          </w:tcPr>
          <w:p w14:paraId="52B1EF9F" w14:textId="6C5985F0" w:rsidR="00431B9C" w:rsidRPr="00BB6003" w:rsidRDefault="00132061" w:rsidP="0049320F">
            <w:pPr>
              <w:autoSpaceDE/>
              <w:autoSpaceDN/>
              <w:adjustRightInd/>
              <w:spacing w:after="0"/>
              <w:rPr>
                <w:rFonts w:eastAsia="Times New Roman" w:cs="Arial"/>
                <w:sz w:val="20"/>
                <w:szCs w:val="20"/>
                <w:lang w:eastAsia="en-GB"/>
              </w:rPr>
            </w:pPr>
            <w:r>
              <w:rPr>
                <w:rFonts w:cs="Arial"/>
                <w:sz w:val="20"/>
                <w:szCs w:val="20"/>
              </w:rPr>
              <w:t>0.000</w:t>
            </w:r>
          </w:p>
        </w:tc>
      </w:tr>
      <w:tr w:rsidR="00431B9C" w:rsidRPr="00BB6003" w14:paraId="2B2A7BC4" w14:textId="77777777" w:rsidTr="00431B9C">
        <w:trPr>
          <w:trHeight w:val="261"/>
        </w:trPr>
        <w:tc>
          <w:tcPr>
            <w:tcW w:w="837" w:type="dxa"/>
            <w:tcBorders>
              <w:top w:val="nil"/>
              <w:left w:val="single" w:sz="4" w:space="0" w:color="auto"/>
              <w:bottom w:val="single" w:sz="4" w:space="0" w:color="auto"/>
              <w:right w:val="single" w:sz="4" w:space="0" w:color="auto"/>
            </w:tcBorders>
            <w:shd w:val="clear" w:color="000000" w:fill="FFFFFF"/>
            <w:noWrap/>
            <w:hideMark/>
          </w:tcPr>
          <w:p w14:paraId="059FC1DF" w14:textId="720BB67E" w:rsidR="00431B9C" w:rsidRPr="00BB6003" w:rsidRDefault="00622590" w:rsidP="0049320F">
            <w:pPr>
              <w:autoSpaceDE/>
              <w:autoSpaceDN/>
              <w:adjustRightInd/>
              <w:spacing w:after="0"/>
              <w:rPr>
                <w:rFonts w:eastAsia="Times New Roman" w:cs="Arial"/>
                <w:b/>
                <w:bCs/>
                <w:sz w:val="20"/>
                <w:szCs w:val="20"/>
                <w:lang w:eastAsia="en-GB"/>
              </w:rPr>
            </w:pPr>
            <w:r>
              <w:rPr>
                <w:rFonts w:eastAsia="Times New Roman" w:cs="Arial"/>
                <w:b/>
                <w:bCs/>
                <w:sz w:val="20"/>
                <w:szCs w:val="20"/>
                <w:lang w:eastAsia="en-GB"/>
              </w:rPr>
              <w:t>3.5</w:t>
            </w:r>
            <w:r w:rsidR="00431B9C" w:rsidRPr="00BB6003">
              <w:rPr>
                <w:rFonts w:eastAsia="Times New Roman" w:cs="Arial"/>
                <w:b/>
                <w:bCs/>
                <w:sz w:val="20"/>
                <w:szCs w:val="20"/>
                <w:lang w:eastAsia="en-GB"/>
              </w:rPr>
              <w:t>.3</w:t>
            </w:r>
          </w:p>
        </w:tc>
        <w:tc>
          <w:tcPr>
            <w:tcW w:w="3921" w:type="dxa"/>
            <w:tcBorders>
              <w:top w:val="nil"/>
              <w:left w:val="nil"/>
              <w:bottom w:val="single" w:sz="4" w:space="0" w:color="auto"/>
              <w:right w:val="single" w:sz="4" w:space="0" w:color="auto"/>
            </w:tcBorders>
            <w:shd w:val="clear" w:color="000000" w:fill="FFFFFF"/>
            <w:hideMark/>
          </w:tcPr>
          <w:p w14:paraId="5CDD369E" w14:textId="77777777" w:rsidR="00431B9C" w:rsidRPr="00BB6003" w:rsidRDefault="00431B9C" w:rsidP="00F33AA4">
            <w:pPr>
              <w:autoSpaceDE/>
              <w:autoSpaceDN/>
              <w:adjustRightInd/>
              <w:spacing w:after="0"/>
              <w:jc w:val="left"/>
              <w:rPr>
                <w:rFonts w:eastAsia="Times New Roman" w:cs="Arial"/>
                <w:sz w:val="20"/>
                <w:szCs w:val="20"/>
                <w:lang w:eastAsia="en-GB"/>
              </w:rPr>
            </w:pPr>
            <w:r>
              <w:rPr>
                <w:rFonts w:cs="Arial"/>
                <w:sz w:val="20"/>
                <w:szCs w:val="20"/>
              </w:rPr>
              <w:t>CORPORATE SERVICES</w:t>
            </w:r>
          </w:p>
        </w:tc>
        <w:tc>
          <w:tcPr>
            <w:tcW w:w="1445" w:type="dxa"/>
            <w:tcBorders>
              <w:top w:val="nil"/>
              <w:left w:val="nil"/>
              <w:bottom w:val="single" w:sz="4" w:space="0" w:color="auto"/>
              <w:right w:val="single" w:sz="4" w:space="0" w:color="auto"/>
            </w:tcBorders>
            <w:shd w:val="clear" w:color="000000" w:fill="FFFFFF"/>
            <w:hideMark/>
          </w:tcPr>
          <w:p w14:paraId="2D85247D" w14:textId="77777777" w:rsidR="00431B9C" w:rsidRPr="00BB6003" w:rsidRDefault="00431B9C" w:rsidP="0049320F">
            <w:pPr>
              <w:autoSpaceDE/>
              <w:autoSpaceDN/>
              <w:adjustRightInd/>
              <w:spacing w:after="0"/>
              <w:rPr>
                <w:rFonts w:eastAsia="Times New Roman" w:cs="Arial"/>
                <w:sz w:val="20"/>
                <w:szCs w:val="20"/>
                <w:lang w:eastAsia="en-GB"/>
              </w:rPr>
            </w:pPr>
            <w:r>
              <w:rPr>
                <w:rFonts w:cs="Arial"/>
                <w:sz w:val="20"/>
                <w:szCs w:val="20"/>
              </w:rPr>
              <w:t xml:space="preserve">0.108 </w:t>
            </w:r>
          </w:p>
        </w:tc>
        <w:tc>
          <w:tcPr>
            <w:tcW w:w="1442" w:type="dxa"/>
            <w:tcBorders>
              <w:top w:val="nil"/>
              <w:left w:val="nil"/>
              <w:bottom w:val="single" w:sz="4" w:space="0" w:color="auto"/>
              <w:right w:val="single" w:sz="4" w:space="0" w:color="auto"/>
            </w:tcBorders>
            <w:shd w:val="clear" w:color="000000" w:fill="FFFFFF"/>
            <w:hideMark/>
          </w:tcPr>
          <w:p w14:paraId="67D5A820" w14:textId="77777777" w:rsidR="00431B9C" w:rsidRPr="00BB6003" w:rsidRDefault="00431B9C" w:rsidP="0049320F">
            <w:pPr>
              <w:autoSpaceDE/>
              <w:autoSpaceDN/>
              <w:adjustRightInd/>
              <w:spacing w:after="0"/>
              <w:rPr>
                <w:rFonts w:eastAsia="Times New Roman" w:cs="Arial"/>
                <w:sz w:val="20"/>
                <w:szCs w:val="20"/>
                <w:lang w:eastAsia="en-GB"/>
              </w:rPr>
            </w:pPr>
            <w:r>
              <w:rPr>
                <w:rFonts w:cs="Arial"/>
                <w:sz w:val="20"/>
                <w:szCs w:val="20"/>
              </w:rPr>
              <w:t xml:space="preserve">0.108 </w:t>
            </w:r>
          </w:p>
        </w:tc>
        <w:tc>
          <w:tcPr>
            <w:tcW w:w="1442" w:type="dxa"/>
            <w:tcBorders>
              <w:top w:val="nil"/>
              <w:left w:val="nil"/>
              <w:bottom w:val="single" w:sz="4" w:space="0" w:color="auto"/>
              <w:right w:val="single" w:sz="4" w:space="0" w:color="auto"/>
            </w:tcBorders>
            <w:shd w:val="clear" w:color="000000" w:fill="FFFFFF"/>
            <w:hideMark/>
          </w:tcPr>
          <w:p w14:paraId="0A9FAFDE" w14:textId="77777777" w:rsidR="00431B9C" w:rsidRPr="00BB6003" w:rsidRDefault="00431B9C" w:rsidP="0049320F">
            <w:pPr>
              <w:autoSpaceDE/>
              <w:autoSpaceDN/>
              <w:adjustRightInd/>
              <w:spacing w:after="0"/>
              <w:rPr>
                <w:rFonts w:eastAsia="Times New Roman" w:cs="Arial"/>
                <w:sz w:val="20"/>
                <w:szCs w:val="20"/>
                <w:lang w:eastAsia="en-GB"/>
              </w:rPr>
            </w:pPr>
            <w:r>
              <w:rPr>
                <w:rFonts w:cs="Arial"/>
                <w:sz w:val="20"/>
                <w:szCs w:val="20"/>
              </w:rPr>
              <w:t xml:space="preserve">0.000 </w:t>
            </w:r>
          </w:p>
        </w:tc>
      </w:tr>
      <w:tr w:rsidR="00431B9C" w:rsidRPr="00BB6003" w14:paraId="2C0C7E73" w14:textId="77777777" w:rsidTr="00431B9C">
        <w:trPr>
          <w:trHeight w:val="261"/>
        </w:trPr>
        <w:tc>
          <w:tcPr>
            <w:tcW w:w="837" w:type="dxa"/>
            <w:tcBorders>
              <w:top w:val="nil"/>
              <w:left w:val="single" w:sz="4" w:space="0" w:color="auto"/>
              <w:bottom w:val="single" w:sz="4" w:space="0" w:color="auto"/>
              <w:right w:val="single" w:sz="4" w:space="0" w:color="auto"/>
            </w:tcBorders>
            <w:shd w:val="clear" w:color="000000" w:fill="FFFFFF"/>
            <w:noWrap/>
            <w:hideMark/>
          </w:tcPr>
          <w:p w14:paraId="17DAD6D0" w14:textId="27E8B7BE" w:rsidR="00431B9C" w:rsidRPr="00BB6003" w:rsidRDefault="00622590" w:rsidP="0049320F">
            <w:pPr>
              <w:autoSpaceDE/>
              <w:autoSpaceDN/>
              <w:adjustRightInd/>
              <w:spacing w:after="0"/>
              <w:rPr>
                <w:rFonts w:eastAsia="Times New Roman" w:cs="Arial"/>
                <w:b/>
                <w:bCs/>
                <w:sz w:val="20"/>
                <w:szCs w:val="20"/>
                <w:lang w:eastAsia="en-GB"/>
              </w:rPr>
            </w:pPr>
            <w:r>
              <w:rPr>
                <w:rFonts w:eastAsia="Times New Roman" w:cs="Arial"/>
                <w:b/>
                <w:bCs/>
                <w:sz w:val="20"/>
                <w:szCs w:val="20"/>
                <w:lang w:eastAsia="en-GB"/>
              </w:rPr>
              <w:t>3.5</w:t>
            </w:r>
            <w:r w:rsidR="00431B9C" w:rsidRPr="00BB6003">
              <w:rPr>
                <w:rFonts w:eastAsia="Times New Roman" w:cs="Arial"/>
                <w:b/>
                <w:bCs/>
                <w:sz w:val="20"/>
                <w:szCs w:val="20"/>
                <w:lang w:eastAsia="en-GB"/>
              </w:rPr>
              <w:t>.4</w:t>
            </w:r>
          </w:p>
        </w:tc>
        <w:tc>
          <w:tcPr>
            <w:tcW w:w="3921" w:type="dxa"/>
            <w:tcBorders>
              <w:top w:val="nil"/>
              <w:left w:val="nil"/>
              <w:bottom w:val="single" w:sz="4" w:space="0" w:color="auto"/>
              <w:right w:val="single" w:sz="4" w:space="0" w:color="auto"/>
            </w:tcBorders>
            <w:shd w:val="clear" w:color="000000" w:fill="FFFFFF"/>
            <w:hideMark/>
          </w:tcPr>
          <w:p w14:paraId="416F9D6A" w14:textId="77777777" w:rsidR="00431B9C" w:rsidRPr="00BB6003" w:rsidRDefault="00431B9C" w:rsidP="00F33AA4">
            <w:pPr>
              <w:autoSpaceDE/>
              <w:autoSpaceDN/>
              <w:adjustRightInd/>
              <w:spacing w:after="0"/>
              <w:jc w:val="left"/>
              <w:rPr>
                <w:rFonts w:eastAsia="Times New Roman" w:cs="Arial"/>
                <w:sz w:val="20"/>
                <w:szCs w:val="20"/>
                <w:lang w:eastAsia="en-GB"/>
              </w:rPr>
            </w:pPr>
            <w:r>
              <w:rPr>
                <w:rFonts w:cs="Arial"/>
                <w:sz w:val="20"/>
                <w:szCs w:val="20"/>
              </w:rPr>
              <w:t>CORE BUSINESS SYSTEMS TRANSFORMATION</w:t>
            </w:r>
          </w:p>
        </w:tc>
        <w:tc>
          <w:tcPr>
            <w:tcW w:w="1445" w:type="dxa"/>
            <w:tcBorders>
              <w:top w:val="nil"/>
              <w:left w:val="nil"/>
              <w:bottom w:val="single" w:sz="4" w:space="0" w:color="auto"/>
              <w:right w:val="single" w:sz="4" w:space="0" w:color="auto"/>
            </w:tcBorders>
            <w:shd w:val="clear" w:color="000000" w:fill="FFFFFF"/>
            <w:hideMark/>
          </w:tcPr>
          <w:p w14:paraId="71F6B9A8" w14:textId="4F14061C" w:rsidR="00431B9C" w:rsidRPr="00BB6003" w:rsidRDefault="00C95E08" w:rsidP="0049320F">
            <w:pPr>
              <w:autoSpaceDE/>
              <w:autoSpaceDN/>
              <w:adjustRightInd/>
              <w:spacing w:after="0"/>
              <w:rPr>
                <w:rFonts w:eastAsia="Times New Roman" w:cs="Arial"/>
                <w:sz w:val="20"/>
                <w:szCs w:val="20"/>
                <w:lang w:eastAsia="en-GB"/>
              </w:rPr>
            </w:pPr>
            <w:r>
              <w:rPr>
                <w:rFonts w:cs="Arial"/>
                <w:sz w:val="20"/>
                <w:szCs w:val="20"/>
              </w:rPr>
              <w:t>23.983</w:t>
            </w:r>
            <w:r w:rsidR="00431B9C">
              <w:rPr>
                <w:rFonts w:cs="Arial"/>
                <w:sz w:val="20"/>
                <w:szCs w:val="20"/>
              </w:rPr>
              <w:t xml:space="preserve"> </w:t>
            </w:r>
          </w:p>
        </w:tc>
        <w:tc>
          <w:tcPr>
            <w:tcW w:w="1442" w:type="dxa"/>
            <w:tcBorders>
              <w:top w:val="nil"/>
              <w:left w:val="nil"/>
              <w:bottom w:val="single" w:sz="4" w:space="0" w:color="auto"/>
              <w:right w:val="single" w:sz="4" w:space="0" w:color="auto"/>
            </w:tcBorders>
            <w:shd w:val="clear" w:color="000000" w:fill="FFFFFF"/>
            <w:hideMark/>
          </w:tcPr>
          <w:p w14:paraId="213D4D2E" w14:textId="77777777" w:rsidR="00431B9C" w:rsidRPr="00BB6003" w:rsidRDefault="00431B9C" w:rsidP="0049320F">
            <w:pPr>
              <w:autoSpaceDE/>
              <w:autoSpaceDN/>
              <w:adjustRightInd/>
              <w:spacing w:after="0"/>
              <w:rPr>
                <w:rFonts w:eastAsia="Times New Roman" w:cs="Arial"/>
                <w:sz w:val="20"/>
                <w:szCs w:val="20"/>
                <w:lang w:eastAsia="en-GB"/>
              </w:rPr>
            </w:pPr>
            <w:r>
              <w:rPr>
                <w:rFonts w:cs="Arial"/>
                <w:sz w:val="20"/>
                <w:szCs w:val="20"/>
              </w:rPr>
              <w:t xml:space="preserve">23.944 </w:t>
            </w:r>
          </w:p>
        </w:tc>
        <w:tc>
          <w:tcPr>
            <w:tcW w:w="1442" w:type="dxa"/>
            <w:tcBorders>
              <w:top w:val="nil"/>
              <w:left w:val="nil"/>
              <w:bottom w:val="single" w:sz="4" w:space="0" w:color="auto"/>
              <w:right w:val="single" w:sz="4" w:space="0" w:color="auto"/>
            </w:tcBorders>
            <w:shd w:val="clear" w:color="000000" w:fill="FFFFFF"/>
            <w:hideMark/>
          </w:tcPr>
          <w:p w14:paraId="47C6ADF6" w14:textId="11C88512" w:rsidR="00431B9C" w:rsidRPr="00BB6003" w:rsidRDefault="00431B9C" w:rsidP="0049320F">
            <w:pPr>
              <w:autoSpaceDE/>
              <w:autoSpaceDN/>
              <w:adjustRightInd/>
              <w:spacing w:after="0"/>
              <w:rPr>
                <w:rFonts w:eastAsia="Times New Roman" w:cs="Arial"/>
                <w:sz w:val="20"/>
                <w:szCs w:val="20"/>
                <w:lang w:eastAsia="en-GB"/>
              </w:rPr>
            </w:pPr>
            <w:r>
              <w:rPr>
                <w:rFonts w:cs="Arial"/>
                <w:sz w:val="20"/>
                <w:szCs w:val="20"/>
              </w:rPr>
              <w:t>-0.</w:t>
            </w:r>
            <w:r w:rsidR="00C95E08">
              <w:rPr>
                <w:rFonts w:cs="Arial"/>
                <w:sz w:val="20"/>
                <w:szCs w:val="20"/>
              </w:rPr>
              <w:t>039</w:t>
            </w:r>
            <w:r>
              <w:rPr>
                <w:rFonts w:cs="Arial"/>
                <w:sz w:val="20"/>
                <w:szCs w:val="20"/>
              </w:rPr>
              <w:t xml:space="preserve"> </w:t>
            </w:r>
          </w:p>
        </w:tc>
      </w:tr>
      <w:tr w:rsidR="00431B9C" w:rsidRPr="00BB6003" w14:paraId="638B48D0" w14:textId="77777777" w:rsidTr="00431B9C">
        <w:trPr>
          <w:trHeight w:val="522"/>
        </w:trPr>
        <w:tc>
          <w:tcPr>
            <w:tcW w:w="837" w:type="dxa"/>
            <w:tcBorders>
              <w:top w:val="nil"/>
              <w:left w:val="single" w:sz="4" w:space="0" w:color="auto"/>
              <w:bottom w:val="single" w:sz="4" w:space="0" w:color="auto"/>
              <w:right w:val="single" w:sz="4" w:space="0" w:color="auto"/>
            </w:tcBorders>
            <w:shd w:val="clear" w:color="000000" w:fill="FFFFFF"/>
            <w:noWrap/>
            <w:hideMark/>
          </w:tcPr>
          <w:p w14:paraId="765BD193" w14:textId="49158A1F" w:rsidR="00431B9C" w:rsidRPr="00BB6003" w:rsidRDefault="00622590" w:rsidP="0049320F">
            <w:pPr>
              <w:autoSpaceDE/>
              <w:autoSpaceDN/>
              <w:adjustRightInd/>
              <w:spacing w:after="0"/>
              <w:rPr>
                <w:rFonts w:eastAsia="Times New Roman" w:cs="Arial"/>
                <w:b/>
                <w:bCs/>
                <w:sz w:val="20"/>
                <w:szCs w:val="20"/>
                <w:lang w:eastAsia="en-GB"/>
              </w:rPr>
            </w:pPr>
            <w:r>
              <w:rPr>
                <w:rFonts w:eastAsia="Times New Roman" w:cs="Arial"/>
                <w:b/>
                <w:bCs/>
                <w:sz w:val="20"/>
                <w:szCs w:val="20"/>
                <w:lang w:eastAsia="en-GB"/>
              </w:rPr>
              <w:t>3.5</w:t>
            </w:r>
            <w:r w:rsidR="00431B9C" w:rsidRPr="00BB6003">
              <w:rPr>
                <w:rFonts w:eastAsia="Times New Roman" w:cs="Arial"/>
                <w:b/>
                <w:bCs/>
                <w:sz w:val="20"/>
                <w:szCs w:val="20"/>
                <w:lang w:eastAsia="en-GB"/>
              </w:rPr>
              <w:t>.5</w:t>
            </w:r>
          </w:p>
        </w:tc>
        <w:tc>
          <w:tcPr>
            <w:tcW w:w="3921" w:type="dxa"/>
            <w:tcBorders>
              <w:top w:val="nil"/>
              <w:left w:val="nil"/>
              <w:bottom w:val="single" w:sz="4" w:space="0" w:color="auto"/>
              <w:right w:val="single" w:sz="4" w:space="0" w:color="auto"/>
            </w:tcBorders>
            <w:shd w:val="clear" w:color="000000" w:fill="FFFFFF"/>
            <w:hideMark/>
          </w:tcPr>
          <w:p w14:paraId="3B83DF67" w14:textId="77777777" w:rsidR="00431B9C" w:rsidRPr="00BB6003" w:rsidRDefault="00431B9C" w:rsidP="00F33AA4">
            <w:pPr>
              <w:autoSpaceDE/>
              <w:autoSpaceDN/>
              <w:adjustRightInd/>
              <w:spacing w:after="0"/>
              <w:jc w:val="left"/>
              <w:rPr>
                <w:rFonts w:eastAsia="Times New Roman" w:cs="Arial"/>
                <w:sz w:val="20"/>
                <w:szCs w:val="20"/>
                <w:lang w:eastAsia="en-GB"/>
              </w:rPr>
            </w:pPr>
            <w:r>
              <w:rPr>
                <w:rFonts w:cs="Arial"/>
                <w:sz w:val="20"/>
                <w:szCs w:val="20"/>
              </w:rPr>
              <w:t>FACILITIES MGT</w:t>
            </w:r>
          </w:p>
        </w:tc>
        <w:tc>
          <w:tcPr>
            <w:tcW w:w="1445" w:type="dxa"/>
            <w:tcBorders>
              <w:top w:val="nil"/>
              <w:left w:val="nil"/>
              <w:bottom w:val="single" w:sz="4" w:space="0" w:color="auto"/>
              <w:right w:val="single" w:sz="4" w:space="0" w:color="auto"/>
            </w:tcBorders>
            <w:shd w:val="clear" w:color="000000" w:fill="FFFFFF"/>
            <w:hideMark/>
          </w:tcPr>
          <w:p w14:paraId="4D1E3494" w14:textId="13CD5ECD" w:rsidR="00431B9C" w:rsidRPr="00BB6003" w:rsidRDefault="00594F97" w:rsidP="0049320F">
            <w:pPr>
              <w:autoSpaceDE/>
              <w:autoSpaceDN/>
              <w:adjustRightInd/>
              <w:spacing w:after="0"/>
              <w:rPr>
                <w:rFonts w:eastAsia="Times New Roman" w:cs="Arial"/>
                <w:sz w:val="20"/>
                <w:szCs w:val="20"/>
                <w:lang w:eastAsia="en-GB"/>
              </w:rPr>
            </w:pPr>
            <w:r>
              <w:rPr>
                <w:rFonts w:cs="Arial"/>
                <w:sz w:val="20"/>
                <w:szCs w:val="20"/>
              </w:rPr>
              <w:t>5.405</w:t>
            </w:r>
            <w:r w:rsidR="00431B9C">
              <w:rPr>
                <w:rFonts w:cs="Arial"/>
                <w:sz w:val="20"/>
                <w:szCs w:val="20"/>
              </w:rPr>
              <w:t xml:space="preserve"> </w:t>
            </w:r>
          </w:p>
        </w:tc>
        <w:tc>
          <w:tcPr>
            <w:tcW w:w="1442" w:type="dxa"/>
            <w:tcBorders>
              <w:top w:val="nil"/>
              <w:left w:val="nil"/>
              <w:bottom w:val="single" w:sz="4" w:space="0" w:color="auto"/>
              <w:right w:val="single" w:sz="4" w:space="0" w:color="auto"/>
            </w:tcBorders>
            <w:shd w:val="clear" w:color="000000" w:fill="FFFFFF"/>
            <w:hideMark/>
          </w:tcPr>
          <w:p w14:paraId="1AD3FA85" w14:textId="39AE9B3E" w:rsidR="00431B9C" w:rsidRPr="00BB6003" w:rsidRDefault="00594F97" w:rsidP="0049320F">
            <w:pPr>
              <w:autoSpaceDE/>
              <w:autoSpaceDN/>
              <w:adjustRightInd/>
              <w:spacing w:after="0"/>
              <w:rPr>
                <w:rFonts w:eastAsia="Times New Roman" w:cs="Arial"/>
                <w:sz w:val="20"/>
                <w:szCs w:val="20"/>
                <w:lang w:eastAsia="en-GB"/>
              </w:rPr>
            </w:pPr>
            <w:r>
              <w:rPr>
                <w:rFonts w:eastAsia="Times New Roman" w:cs="Arial"/>
                <w:sz w:val="20"/>
                <w:szCs w:val="20"/>
                <w:lang w:eastAsia="en-GB"/>
              </w:rPr>
              <w:t>5.996</w:t>
            </w:r>
          </w:p>
        </w:tc>
        <w:tc>
          <w:tcPr>
            <w:tcW w:w="1442" w:type="dxa"/>
            <w:tcBorders>
              <w:top w:val="nil"/>
              <w:left w:val="nil"/>
              <w:bottom w:val="single" w:sz="4" w:space="0" w:color="auto"/>
              <w:right w:val="single" w:sz="4" w:space="0" w:color="auto"/>
            </w:tcBorders>
            <w:shd w:val="clear" w:color="000000" w:fill="FFFFFF"/>
            <w:hideMark/>
          </w:tcPr>
          <w:p w14:paraId="513E713E" w14:textId="77777777" w:rsidR="00431B9C" w:rsidRPr="00BB6003" w:rsidRDefault="00431B9C" w:rsidP="0049320F">
            <w:pPr>
              <w:autoSpaceDE/>
              <w:autoSpaceDN/>
              <w:adjustRightInd/>
              <w:spacing w:after="0"/>
              <w:rPr>
                <w:rFonts w:eastAsia="Times New Roman" w:cs="Arial"/>
                <w:sz w:val="20"/>
                <w:szCs w:val="20"/>
                <w:lang w:eastAsia="en-GB"/>
              </w:rPr>
            </w:pPr>
            <w:r>
              <w:rPr>
                <w:rFonts w:cs="Arial"/>
                <w:sz w:val="20"/>
                <w:szCs w:val="20"/>
              </w:rPr>
              <w:t xml:space="preserve">0.591 </w:t>
            </w:r>
          </w:p>
        </w:tc>
      </w:tr>
      <w:tr w:rsidR="00431B9C" w:rsidRPr="00BB6003" w14:paraId="40CEFB14" w14:textId="77777777" w:rsidTr="00431B9C">
        <w:trPr>
          <w:trHeight w:val="261"/>
        </w:trPr>
        <w:tc>
          <w:tcPr>
            <w:tcW w:w="837" w:type="dxa"/>
            <w:tcBorders>
              <w:top w:val="nil"/>
              <w:left w:val="single" w:sz="4" w:space="0" w:color="auto"/>
              <w:bottom w:val="single" w:sz="4" w:space="0" w:color="auto"/>
              <w:right w:val="single" w:sz="4" w:space="0" w:color="auto"/>
            </w:tcBorders>
            <w:shd w:val="clear" w:color="000000" w:fill="FFFFFF"/>
            <w:noWrap/>
            <w:hideMark/>
          </w:tcPr>
          <w:p w14:paraId="717545FA" w14:textId="47CF1717" w:rsidR="00431B9C" w:rsidRPr="00BB6003" w:rsidRDefault="00622590" w:rsidP="0049320F">
            <w:pPr>
              <w:autoSpaceDE/>
              <w:autoSpaceDN/>
              <w:adjustRightInd/>
              <w:spacing w:after="0"/>
              <w:rPr>
                <w:rFonts w:eastAsia="Times New Roman" w:cs="Arial"/>
                <w:b/>
                <w:bCs/>
                <w:sz w:val="20"/>
                <w:szCs w:val="20"/>
                <w:lang w:eastAsia="en-GB"/>
              </w:rPr>
            </w:pPr>
            <w:r>
              <w:rPr>
                <w:rFonts w:eastAsia="Times New Roman" w:cs="Arial"/>
                <w:b/>
                <w:bCs/>
                <w:sz w:val="20"/>
                <w:szCs w:val="20"/>
                <w:lang w:eastAsia="en-GB"/>
              </w:rPr>
              <w:t>3.5</w:t>
            </w:r>
            <w:r w:rsidR="00431B9C" w:rsidRPr="00BB6003">
              <w:rPr>
                <w:rFonts w:eastAsia="Times New Roman" w:cs="Arial"/>
                <w:b/>
                <w:bCs/>
                <w:sz w:val="20"/>
                <w:szCs w:val="20"/>
                <w:lang w:eastAsia="en-GB"/>
              </w:rPr>
              <w:t>.6</w:t>
            </w:r>
          </w:p>
        </w:tc>
        <w:tc>
          <w:tcPr>
            <w:tcW w:w="3921" w:type="dxa"/>
            <w:tcBorders>
              <w:top w:val="nil"/>
              <w:left w:val="nil"/>
              <w:bottom w:val="single" w:sz="4" w:space="0" w:color="auto"/>
              <w:right w:val="single" w:sz="4" w:space="0" w:color="auto"/>
            </w:tcBorders>
            <w:shd w:val="clear" w:color="000000" w:fill="FFFFFF"/>
            <w:hideMark/>
          </w:tcPr>
          <w:p w14:paraId="3B0A6FAC" w14:textId="77777777" w:rsidR="00431B9C" w:rsidRPr="00BB6003" w:rsidRDefault="00431B9C" w:rsidP="00F33AA4">
            <w:pPr>
              <w:autoSpaceDE/>
              <w:autoSpaceDN/>
              <w:adjustRightInd/>
              <w:spacing w:after="0"/>
              <w:jc w:val="left"/>
              <w:rPr>
                <w:rFonts w:eastAsia="Times New Roman" w:cs="Arial"/>
                <w:sz w:val="20"/>
                <w:szCs w:val="20"/>
                <w:lang w:eastAsia="en-GB"/>
              </w:rPr>
            </w:pPr>
            <w:r>
              <w:rPr>
                <w:rFonts w:cs="Arial"/>
                <w:sz w:val="20"/>
                <w:szCs w:val="20"/>
              </w:rPr>
              <w:t>HUMAN RESOURCES</w:t>
            </w:r>
          </w:p>
        </w:tc>
        <w:tc>
          <w:tcPr>
            <w:tcW w:w="1445" w:type="dxa"/>
            <w:tcBorders>
              <w:top w:val="nil"/>
              <w:left w:val="nil"/>
              <w:bottom w:val="single" w:sz="4" w:space="0" w:color="auto"/>
              <w:right w:val="single" w:sz="4" w:space="0" w:color="auto"/>
            </w:tcBorders>
            <w:shd w:val="clear" w:color="000000" w:fill="FFFFFF"/>
            <w:hideMark/>
          </w:tcPr>
          <w:p w14:paraId="1A6AEA09" w14:textId="77777777" w:rsidR="00431B9C" w:rsidRPr="00BB6003" w:rsidRDefault="00431B9C" w:rsidP="0049320F">
            <w:pPr>
              <w:autoSpaceDE/>
              <w:autoSpaceDN/>
              <w:adjustRightInd/>
              <w:spacing w:after="0"/>
              <w:rPr>
                <w:rFonts w:eastAsia="Times New Roman" w:cs="Arial"/>
                <w:sz w:val="20"/>
                <w:szCs w:val="20"/>
                <w:lang w:eastAsia="en-GB"/>
              </w:rPr>
            </w:pPr>
            <w:r>
              <w:rPr>
                <w:rFonts w:cs="Arial"/>
                <w:sz w:val="20"/>
                <w:szCs w:val="20"/>
              </w:rPr>
              <w:t xml:space="preserve">1.260 </w:t>
            </w:r>
          </w:p>
        </w:tc>
        <w:tc>
          <w:tcPr>
            <w:tcW w:w="1442" w:type="dxa"/>
            <w:tcBorders>
              <w:top w:val="nil"/>
              <w:left w:val="nil"/>
              <w:bottom w:val="single" w:sz="4" w:space="0" w:color="auto"/>
              <w:right w:val="single" w:sz="4" w:space="0" w:color="auto"/>
            </w:tcBorders>
            <w:shd w:val="clear" w:color="000000" w:fill="FFFFFF"/>
            <w:hideMark/>
          </w:tcPr>
          <w:p w14:paraId="12A118DD" w14:textId="77777777" w:rsidR="00431B9C" w:rsidRPr="00BB6003" w:rsidRDefault="00431B9C" w:rsidP="0049320F">
            <w:pPr>
              <w:autoSpaceDE/>
              <w:autoSpaceDN/>
              <w:adjustRightInd/>
              <w:spacing w:after="0"/>
              <w:rPr>
                <w:rFonts w:eastAsia="Times New Roman" w:cs="Arial"/>
                <w:sz w:val="20"/>
                <w:szCs w:val="20"/>
                <w:lang w:eastAsia="en-GB"/>
              </w:rPr>
            </w:pPr>
            <w:r>
              <w:rPr>
                <w:rFonts w:cs="Arial"/>
                <w:sz w:val="20"/>
                <w:szCs w:val="20"/>
              </w:rPr>
              <w:t xml:space="preserve">1.260 </w:t>
            </w:r>
          </w:p>
        </w:tc>
        <w:tc>
          <w:tcPr>
            <w:tcW w:w="1442" w:type="dxa"/>
            <w:tcBorders>
              <w:top w:val="nil"/>
              <w:left w:val="nil"/>
              <w:bottom w:val="single" w:sz="4" w:space="0" w:color="auto"/>
              <w:right w:val="single" w:sz="4" w:space="0" w:color="auto"/>
            </w:tcBorders>
            <w:shd w:val="clear" w:color="000000" w:fill="FFFFFF"/>
            <w:hideMark/>
          </w:tcPr>
          <w:p w14:paraId="49439599" w14:textId="77777777" w:rsidR="00431B9C" w:rsidRPr="00BB6003" w:rsidRDefault="00431B9C" w:rsidP="0049320F">
            <w:pPr>
              <w:autoSpaceDE/>
              <w:autoSpaceDN/>
              <w:adjustRightInd/>
              <w:spacing w:after="0"/>
              <w:rPr>
                <w:rFonts w:eastAsia="Times New Roman" w:cs="Arial"/>
                <w:sz w:val="20"/>
                <w:szCs w:val="20"/>
                <w:lang w:eastAsia="en-GB"/>
              </w:rPr>
            </w:pPr>
            <w:r>
              <w:rPr>
                <w:rFonts w:cs="Arial"/>
                <w:sz w:val="20"/>
                <w:szCs w:val="20"/>
              </w:rPr>
              <w:t xml:space="preserve">0.000 </w:t>
            </w:r>
          </w:p>
        </w:tc>
      </w:tr>
      <w:tr w:rsidR="00431B9C" w:rsidRPr="00BB6003" w14:paraId="242A6141" w14:textId="77777777" w:rsidTr="00431B9C">
        <w:trPr>
          <w:trHeight w:val="261"/>
        </w:trPr>
        <w:tc>
          <w:tcPr>
            <w:tcW w:w="837" w:type="dxa"/>
            <w:tcBorders>
              <w:top w:val="nil"/>
              <w:left w:val="single" w:sz="4" w:space="0" w:color="auto"/>
              <w:bottom w:val="single" w:sz="4" w:space="0" w:color="auto"/>
              <w:right w:val="single" w:sz="4" w:space="0" w:color="auto"/>
            </w:tcBorders>
            <w:shd w:val="clear" w:color="000000" w:fill="FFFFFF"/>
            <w:noWrap/>
            <w:hideMark/>
          </w:tcPr>
          <w:p w14:paraId="5F8308B4" w14:textId="4C7F7C72" w:rsidR="00431B9C" w:rsidRPr="00BB6003" w:rsidRDefault="00622590" w:rsidP="0049320F">
            <w:pPr>
              <w:autoSpaceDE/>
              <w:autoSpaceDN/>
              <w:adjustRightInd/>
              <w:spacing w:after="0"/>
              <w:rPr>
                <w:rFonts w:eastAsia="Times New Roman" w:cs="Arial"/>
                <w:b/>
                <w:bCs/>
                <w:sz w:val="20"/>
                <w:szCs w:val="20"/>
                <w:lang w:eastAsia="en-GB"/>
              </w:rPr>
            </w:pPr>
            <w:r>
              <w:rPr>
                <w:rFonts w:eastAsia="Times New Roman" w:cs="Arial"/>
                <w:b/>
                <w:bCs/>
                <w:sz w:val="20"/>
                <w:szCs w:val="20"/>
                <w:lang w:eastAsia="en-GB"/>
              </w:rPr>
              <w:t>3.5</w:t>
            </w:r>
            <w:r w:rsidR="00431B9C" w:rsidRPr="00BB6003">
              <w:rPr>
                <w:rFonts w:eastAsia="Times New Roman" w:cs="Arial"/>
                <w:b/>
                <w:bCs/>
                <w:sz w:val="20"/>
                <w:szCs w:val="20"/>
                <w:lang w:eastAsia="en-GB"/>
              </w:rPr>
              <w:t>.7</w:t>
            </w:r>
          </w:p>
        </w:tc>
        <w:tc>
          <w:tcPr>
            <w:tcW w:w="3921" w:type="dxa"/>
            <w:tcBorders>
              <w:top w:val="nil"/>
              <w:left w:val="nil"/>
              <w:bottom w:val="single" w:sz="4" w:space="0" w:color="auto"/>
              <w:right w:val="single" w:sz="4" w:space="0" w:color="auto"/>
            </w:tcBorders>
            <w:shd w:val="clear" w:color="000000" w:fill="FFFFFF"/>
            <w:hideMark/>
          </w:tcPr>
          <w:p w14:paraId="40F1C472" w14:textId="77777777" w:rsidR="00431B9C" w:rsidRPr="00BB6003" w:rsidRDefault="00431B9C" w:rsidP="00F33AA4">
            <w:pPr>
              <w:autoSpaceDE/>
              <w:autoSpaceDN/>
              <w:adjustRightInd/>
              <w:spacing w:after="0"/>
              <w:jc w:val="left"/>
              <w:rPr>
                <w:rFonts w:eastAsia="Times New Roman" w:cs="Arial"/>
                <w:sz w:val="20"/>
                <w:szCs w:val="20"/>
                <w:lang w:eastAsia="en-GB"/>
              </w:rPr>
            </w:pPr>
            <w:r>
              <w:rPr>
                <w:rFonts w:cs="Arial"/>
                <w:sz w:val="20"/>
                <w:szCs w:val="20"/>
              </w:rPr>
              <w:t>ECONOMIC DEVELOPMENT</w:t>
            </w:r>
          </w:p>
        </w:tc>
        <w:tc>
          <w:tcPr>
            <w:tcW w:w="1445" w:type="dxa"/>
            <w:tcBorders>
              <w:top w:val="nil"/>
              <w:left w:val="nil"/>
              <w:bottom w:val="single" w:sz="4" w:space="0" w:color="auto"/>
              <w:right w:val="single" w:sz="4" w:space="0" w:color="auto"/>
            </w:tcBorders>
            <w:shd w:val="clear" w:color="000000" w:fill="FFFFFF"/>
            <w:hideMark/>
          </w:tcPr>
          <w:p w14:paraId="160A2834" w14:textId="77777777" w:rsidR="00431B9C" w:rsidRPr="00BB6003" w:rsidRDefault="00431B9C" w:rsidP="0049320F">
            <w:pPr>
              <w:autoSpaceDE/>
              <w:autoSpaceDN/>
              <w:adjustRightInd/>
              <w:spacing w:after="0"/>
              <w:rPr>
                <w:rFonts w:eastAsia="Times New Roman" w:cs="Arial"/>
                <w:sz w:val="20"/>
                <w:szCs w:val="20"/>
                <w:lang w:eastAsia="en-GB"/>
              </w:rPr>
            </w:pPr>
            <w:r>
              <w:rPr>
                <w:rFonts w:cs="Arial"/>
                <w:sz w:val="20"/>
                <w:szCs w:val="20"/>
              </w:rPr>
              <w:t xml:space="preserve">0.170 </w:t>
            </w:r>
          </w:p>
        </w:tc>
        <w:tc>
          <w:tcPr>
            <w:tcW w:w="1442" w:type="dxa"/>
            <w:tcBorders>
              <w:top w:val="nil"/>
              <w:left w:val="nil"/>
              <w:bottom w:val="single" w:sz="4" w:space="0" w:color="auto"/>
              <w:right w:val="single" w:sz="4" w:space="0" w:color="auto"/>
            </w:tcBorders>
            <w:shd w:val="clear" w:color="000000" w:fill="FFFFFF"/>
            <w:hideMark/>
          </w:tcPr>
          <w:p w14:paraId="1EB4FDC1" w14:textId="1C140860" w:rsidR="00431B9C" w:rsidRPr="00BB6003" w:rsidRDefault="00431B9C" w:rsidP="0049320F">
            <w:pPr>
              <w:autoSpaceDE/>
              <w:autoSpaceDN/>
              <w:adjustRightInd/>
              <w:spacing w:after="0"/>
              <w:rPr>
                <w:rFonts w:eastAsia="Times New Roman" w:cs="Arial"/>
                <w:sz w:val="20"/>
                <w:szCs w:val="20"/>
                <w:lang w:eastAsia="en-GB"/>
              </w:rPr>
            </w:pPr>
            <w:r>
              <w:rPr>
                <w:rFonts w:cs="Arial"/>
                <w:sz w:val="20"/>
                <w:szCs w:val="20"/>
              </w:rPr>
              <w:t>0.</w:t>
            </w:r>
            <w:r w:rsidR="004C0654">
              <w:rPr>
                <w:rFonts w:cs="Arial"/>
                <w:sz w:val="20"/>
                <w:szCs w:val="20"/>
              </w:rPr>
              <w:t>170</w:t>
            </w:r>
            <w:r>
              <w:rPr>
                <w:rFonts w:cs="Arial"/>
                <w:sz w:val="20"/>
                <w:szCs w:val="20"/>
              </w:rPr>
              <w:t xml:space="preserve"> </w:t>
            </w:r>
          </w:p>
        </w:tc>
        <w:tc>
          <w:tcPr>
            <w:tcW w:w="1442" w:type="dxa"/>
            <w:tcBorders>
              <w:top w:val="nil"/>
              <w:left w:val="nil"/>
              <w:bottom w:val="single" w:sz="4" w:space="0" w:color="auto"/>
              <w:right w:val="single" w:sz="4" w:space="0" w:color="auto"/>
            </w:tcBorders>
            <w:shd w:val="clear" w:color="000000" w:fill="FFFFFF"/>
            <w:hideMark/>
          </w:tcPr>
          <w:p w14:paraId="207784B2" w14:textId="476A2DC5" w:rsidR="00431B9C" w:rsidRPr="00BB6003" w:rsidRDefault="004C0654" w:rsidP="0049320F">
            <w:pPr>
              <w:autoSpaceDE/>
              <w:autoSpaceDN/>
              <w:adjustRightInd/>
              <w:spacing w:after="0"/>
              <w:rPr>
                <w:rFonts w:eastAsia="Times New Roman" w:cs="Arial"/>
                <w:sz w:val="20"/>
                <w:szCs w:val="20"/>
                <w:lang w:eastAsia="en-GB"/>
              </w:rPr>
            </w:pPr>
            <w:r>
              <w:rPr>
                <w:rFonts w:cs="Arial"/>
                <w:sz w:val="20"/>
                <w:szCs w:val="20"/>
              </w:rPr>
              <w:t>0.000</w:t>
            </w:r>
          </w:p>
        </w:tc>
      </w:tr>
      <w:tr w:rsidR="00431B9C" w:rsidRPr="00BB6003" w14:paraId="2235DACB" w14:textId="77777777" w:rsidTr="00431B9C">
        <w:trPr>
          <w:trHeight w:val="261"/>
        </w:trPr>
        <w:tc>
          <w:tcPr>
            <w:tcW w:w="837" w:type="dxa"/>
            <w:tcBorders>
              <w:top w:val="nil"/>
              <w:left w:val="single" w:sz="4" w:space="0" w:color="auto"/>
              <w:bottom w:val="single" w:sz="4" w:space="0" w:color="auto"/>
              <w:right w:val="single" w:sz="4" w:space="0" w:color="auto"/>
            </w:tcBorders>
            <w:shd w:val="clear" w:color="000000" w:fill="FFFFFF"/>
            <w:noWrap/>
            <w:hideMark/>
          </w:tcPr>
          <w:p w14:paraId="08E1C41F" w14:textId="179F0F1A" w:rsidR="00431B9C" w:rsidRPr="00BB6003" w:rsidRDefault="00622590" w:rsidP="0049320F">
            <w:pPr>
              <w:autoSpaceDE/>
              <w:autoSpaceDN/>
              <w:adjustRightInd/>
              <w:spacing w:after="0"/>
              <w:rPr>
                <w:rFonts w:eastAsia="Times New Roman" w:cs="Arial"/>
                <w:b/>
                <w:bCs/>
                <w:sz w:val="20"/>
                <w:szCs w:val="20"/>
                <w:lang w:eastAsia="en-GB"/>
              </w:rPr>
            </w:pPr>
            <w:r>
              <w:rPr>
                <w:rFonts w:eastAsia="Times New Roman" w:cs="Arial"/>
                <w:b/>
                <w:bCs/>
                <w:sz w:val="20"/>
                <w:szCs w:val="20"/>
                <w:lang w:eastAsia="en-GB"/>
              </w:rPr>
              <w:t>3.5</w:t>
            </w:r>
            <w:r w:rsidR="00431B9C" w:rsidRPr="00BB6003">
              <w:rPr>
                <w:rFonts w:eastAsia="Times New Roman" w:cs="Arial"/>
                <w:b/>
                <w:bCs/>
                <w:sz w:val="20"/>
                <w:szCs w:val="20"/>
                <w:lang w:eastAsia="en-GB"/>
              </w:rPr>
              <w:t>.8</w:t>
            </w:r>
          </w:p>
        </w:tc>
        <w:tc>
          <w:tcPr>
            <w:tcW w:w="3921" w:type="dxa"/>
            <w:tcBorders>
              <w:top w:val="nil"/>
              <w:left w:val="nil"/>
              <w:bottom w:val="single" w:sz="4" w:space="0" w:color="auto"/>
              <w:right w:val="single" w:sz="4" w:space="0" w:color="auto"/>
            </w:tcBorders>
            <w:shd w:val="clear" w:color="000000" w:fill="FFFFFF"/>
            <w:hideMark/>
          </w:tcPr>
          <w:p w14:paraId="582D9401" w14:textId="77777777" w:rsidR="00431B9C" w:rsidRPr="00BB6003" w:rsidRDefault="00431B9C" w:rsidP="00F33AA4">
            <w:pPr>
              <w:autoSpaceDE/>
              <w:autoSpaceDN/>
              <w:adjustRightInd/>
              <w:spacing w:after="0"/>
              <w:jc w:val="left"/>
              <w:rPr>
                <w:rFonts w:eastAsia="Times New Roman" w:cs="Arial"/>
                <w:sz w:val="20"/>
                <w:szCs w:val="20"/>
                <w:lang w:eastAsia="en-GB"/>
              </w:rPr>
            </w:pPr>
            <w:r>
              <w:rPr>
                <w:rFonts w:cs="Arial"/>
                <w:sz w:val="20"/>
                <w:szCs w:val="20"/>
              </w:rPr>
              <w:t>BUSINESS GROWTH</w:t>
            </w:r>
          </w:p>
        </w:tc>
        <w:tc>
          <w:tcPr>
            <w:tcW w:w="1445" w:type="dxa"/>
            <w:tcBorders>
              <w:top w:val="nil"/>
              <w:left w:val="nil"/>
              <w:bottom w:val="single" w:sz="4" w:space="0" w:color="auto"/>
              <w:right w:val="single" w:sz="4" w:space="0" w:color="auto"/>
            </w:tcBorders>
            <w:shd w:val="clear" w:color="000000" w:fill="FFFFFF"/>
            <w:hideMark/>
          </w:tcPr>
          <w:p w14:paraId="6793D3C9" w14:textId="77777777" w:rsidR="00431B9C" w:rsidRPr="00BB6003" w:rsidRDefault="00431B9C" w:rsidP="0049320F">
            <w:pPr>
              <w:autoSpaceDE/>
              <w:autoSpaceDN/>
              <w:adjustRightInd/>
              <w:spacing w:after="0"/>
              <w:rPr>
                <w:rFonts w:eastAsia="Times New Roman" w:cs="Arial"/>
                <w:sz w:val="20"/>
                <w:szCs w:val="20"/>
                <w:lang w:eastAsia="en-GB"/>
              </w:rPr>
            </w:pPr>
            <w:r>
              <w:rPr>
                <w:rFonts w:cs="Arial"/>
                <w:sz w:val="20"/>
                <w:szCs w:val="20"/>
              </w:rPr>
              <w:t xml:space="preserve">0.080 </w:t>
            </w:r>
          </w:p>
        </w:tc>
        <w:tc>
          <w:tcPr>
            <w:tcW w:w="1442" w:type="dxa"/>
            <w:tcBorders>
              <w:top w:val="nil"/>
              <w:left w:val="nil"/>
              <w:bottom w:val="single" w:sz="4" w:space="0" w:color="auto"/>
              <w:right w:val="single" w:sz="4" w:space="0" w:color="auto"/>
            </w:tcBorders>
            <w:shd w:val="clear" w:color="000000" w:fill="FFFFFF"/>
            <w:hideMark/>
          </w:tcPr>
          <w:p w14:paraId="2D30B5AA" w14:textId="77777777" w:rsidR="00431B9C" w:rsidRPr="00BB6003" w:rsidRDefault="00431B9C" w:rsidP="0049320F">
            <w:pPr>
              <w:autoSpaceDE/>
              <w:autoSpaceDN/>
              <w:adjustRightInd/>
              <w:spacing w:after="0"/>
              <w:rPr>
                <w:rFonts w:eastAsia="Times New Roman" w:cs="Arial"/>
                <w:sz w:val="20"/>
                <w:szCs w:val="20"/>
                <w:lang w:eastAsia="en-GB"/>
              </w:rPr>
            </w:pPr>
            <w:r>
              <w:rPr>
                <w:rFonts w:cs="Arial"/>
                <w:sz w:val="20"/>
                <w:szCs w:val="20"/>
              </w:rPr>
              <w:t xml:space="preserve">0.080 </w:t>
            </w:r>
          </w:p>
        </w:tc>
        <w:tc>
          <w:tcPr>
            <w:tcW w:w="1442" w:type="dxa"/>
            <w:tcBorders>
              <w:top w:val="nil"/>
              <w:left w:val="nil"/>
              <w:bottom w:val="single" w:sz="4" w:space="0" w:color="auto"/>
              <w:right w:val="single" w:sz="4" w:space="0" w:color="auto"/>
            </w:tcBorders>
            <w:shd w:val="clear" w:color="000000" w:fill="FFFFFF"/>
            <w:hideMark/>
          </w:tcPr>
          <w:p w14:paraId="40B606F6" w14:textId="77777777" w:rsidR="00431B9C" w:rsidRPr="00BB6003" w:rsidRDefault="00431B9C" w:rsidP="0049320F">
            <w:pPr>
              <w:autoSpaceDE/>
              <w:autoSpaceDN/>
              <w:adjustRightInd/>
              <w:spacing w:after="0"/>
              <w:rPr>
                <w:rFonts w:eastAsia="Times New Roman" w:cs="Arial"/>
                <w:sz w:val="20"/>
                <w:szCs w:val="20"/>
                <w:lang w:eastAsia="en-GB"/>
              </w:rPr>
            </w:pPr>
            <w:r>
              <w:rPr>
                <w:rFonts w:cs="Arial"/>
                <w:sz w:val="20"/>
                <w:szCs w:val="20"/>
              </w:rPr>
              <w:t xml:space="preserve">0.000 </w:t>
            </w:r>
          </w:p>
        </w:tc>
      </w:tr>
      <w:tr w:rsidR="00431B9C" w:rsidRPr="00BB6003" w14:paraId="499624F4" w14:textId="77777777" w:rsidTr="00431B9C">
        <w:trPr>
          <w:trHeight w:val="522"/>
        </w:trPr>
        <w:tc>
          <w:tcPr>
            <w:tcW w:w="837" w:type="dxa"/>
            <w:tcBorders>
              <w:top w:val="nil"/>
              <w:left w:val="single" w:sz="4" w:space="0" w:color="auto"/>
              <w:bottom w:val="single" w:sz="4" w:space="0" w:color="auto"/>
              <w:right w:val="single" w:sz="4" w:space="0" w:color="auto"/>
            </w:tcBorders>
            <w:shd w:val="clear" w:color="000000" w:fill="FFFFFF"/>
            <w:noWrap/>
            <w:hideMark/>
          </w:tcPr>
          <w:p w14:paraId="071765E8" w14:textId="11783183" w:rsidR="00431B9C" w:rsidRPr="00BB6003" w:rsidRDefault="00622590" w:rsidP="0049320F">
            <w:pPr>
              <w:autoSpaceDE/>
              <w:autoSpaceDN/>
              <w:adjustRightInd/>
              <w:spacing w:after="0"/>
              <w:rPr>
                <w:rFonts w:eastAsia="Times New Roman" w:cs="Arial"/>
                <w:b/>
                <w:bCs/>
                <w:sz w:val="20"/>
                <w:szCs w:val="20"/>
                <w:lang w:eastAsia="en-GB"/>
              </w:rPr>
            </w:pPr>
            <w:r>
              <w:rPr>
                <w:rFonts w:eastAsia="Times New Roman" w:cs="Arial"/>
                <w:b/>
                <w:bCs/>
                <w:sz w:val="20"/>
                <w:szCs w:val="20"/>
                <w:lang w:eastAsia="en-GB"/>
              </w:rPr>
              <w:t>3.5</w:t>
            </w:r>
            <w:r w:rsidR="00431B9C" w:rsidRPr="00BB6003">
              <w:rPr>
                <w:rFonts w:eastAsia="Times New Roman" w:cs="Arial"/>
                <w:b/>
                <w:bCs/>
                <w:sz w:val="20"/>
                <w:szCs w:val="20"/>
                <w:lang w:eastAsia="en-GB"/>
              </w:rPr>
              <w:t>.9</w:t>
            </w:r>
          </w:p>
        </w:tc>
        <w:tc>
          <w:tcPr>
            <w:tcW w:w="3921" w:type="dxa"/>
            <w:tcBorders>
              <w:top w:val="nil"/>
              <w:left w:val="nil"/>
              <w:bottom w:val="single" w:sz="4" w:space="0" w:color="auto"/>
              <w:right w:val="single" w:sz="4" w:space="0" w:color="auto"/>
            </w:tcBorders>
            <w:shd w:val="clear" w:color="000000" w:fill="FFFFFF"/>
            <w:hideMark/>
          </w:tcPr>
          <w:p w14:paraId="27AD25B0" w14:textId="77777777" w:rsidR="00431B9C" w:rsidRPr="00BB6003" w:rsidRDefault="00431B9C" w:rsidP="00F33AA4">
            <w:pPr>
              <w:autoSpaceDE/>
              <w:autoSpaceDN/>
              <w:adjustRightInd/>
              <w:spacing w:after="0"/>
              <w:jc w:val="left"/>
              <w:rPr>
                <w:rFonts w:eastAsia="Times New Roman" w:cs="Arial"/>
                <w:sz w:val="20"/>
                <w:szCs w:val="20"/>
                <w:lang w:eastAsia="en-GB"/>
              </w:rPr>
            </w:pPr>
            <w:r>
              <w:rPr>
                <w:rFonts w:cs="Arial"/>
                <w:sz w:val="20"/>
                <w:szCs w:val="20"/>
              </w:rPr>
              <w:t>LEP COORDINATION</w:t>
            </w:r>
          </w:p>
        </w:tc>
        <w:tc>
          <w:tcPr>
            <w:tcW w:w="1445" w:type="dxa"/>
            <w:tcBorders>
              <w:top w:val="nil"/>
              <w:left w:val="nil"/>
              <w:bottom w:val="single" w:sz="4" w:space="0" w:color="auto"/>
              <w:right w:val="single" w:sz="4" w:space="0" w:color="auto"/>
            </w:tcBorders>
            <w:shd w:val="clear" w:color="000000" w:fill="FFFFFF"/>
            <w:hideMark/>
          </w:tcPr>
          <w:p w14:paraId="388B9174" w14:textId="699BA574" w:rsidR="00431B9C" w:rsidRPr="00BB6003" w:rsidRDefault="00431B9C" w:rsidP="0049320F">
            <w:pPr>
              <w:autoSpaceDE/>
              <w:autoSpaceDN/>
              <w:adjustRightInd/>
              <w:spacing w:after="0"/>
              <w:rPr>
                <w:rFonts w:eastAsia="Times New Roman" w:cs="Arial"/>
                <w:sz w:val="20"/>
                <w:szCs w:val="20"/>
                <w:lang w:eastAsia="en-GB"/>
              </w:rPr>
            </w:pPr>
            <w:r>
              <w:rPr>
                <w:rFonts w:cs="Arial"/>
                <w:sz w:val="20"/>
                <w:szCs w:val="20"/>
              </w:rPr>
              <w:t xml:space="preserve">0.000 </w:t>
            </w:r>
          </w:p>
        </w:tc>
        <w:tc>
          <w:tcPr>
            <w:tcW w:w="1442" w:type="dxa"/>
            <w:tcBorders>
              <w:top w:val="nil"/>
              <w:left w:val="nil"/>
              <w:bottom w:val="single" w:sz="4" w:space="0" w:color="auto"/>
              <w:right w:val="single" w:sz="4" w:space="0" w:color="auto"/>
            </w:tcBorders>
            <w:shd w:val="clear" w:color="000000" w:fill="FFFFFF"/>
            <w:hideMark/>
          </w:tcPr>
          <w:p w14:paraId="5D57D1AD" w14:textId="77777777" w:rsidR="00431B9C" w:rsidRPr="00BB6003" w:rsidRDefault="00431B9C" w:rsidP="0049320F">
            <w:pPr>
              <w:autoSpaceDE/>
              <w:autoSpaceDN/>
              <w:adjustRightInd/>
              <w:spacing w:after="0"/>
              <w:rPr>
                <w:rFonts w:eastAsia="Times New Roman" w:cs="Arial"/>
                <w:sz w:val="20"/>
                <w:szCs w:val="20"/>
                <w:lang w:eastAsia="en-GB"/>
              </w:rPr>
            </w:pPr>
            <w:r>
              <w:rPr>
                <w:rFonts w:cs="Arial"/>
                <w:sz w:val="20"/>
                <w:szCs w:val="20"/>
              </w:rPr>
              <w:t xml:space="preserve">0.064 </w:t>
            </w:r>
          </w:p>
        </w:tc>
        <w:tc>
          <w:tcPr>
            <w:tcW w:w="1442" w:type="dxa"/>
            <w:tcBorders>
              <w:top w:val="nil"/>
              <w:left w:val="nil"/>
              <w:bottom w:val="single" w:sz="4" w:space="0" w:color="auto"/>
              <w:right w:val="single" w:sz="4" w:space="0" w:color="auto"/>
            </w:tcBorders>
            <w:shd w:val="clear" w:color="000000" w:fill="FFFFFF"/>
            <w:hideMark/>
          </w:tcPr>
          <w:p w14:paraId="0D13BF14" w14:textId="77777777" w:rsidR="00431B9C" w:rsidRPr="00BB6003" w:rsidRDefault="00431B9C" w:rsidP="0049320F">
            <w:pPr>
              <w:autoSpaceDE/>
              <w:autoSpaceDN/>
              <w:adjustRightInd/>
              <w:spacing w:after="0"/>
              <w:rPr>
                <w:rFonts w:eastAsia="Times New Roman" w:cs="Arial"/>
                <w:sz w:val="20"/>
                <w:szCs w:val="20"/>
                <w:lang w:eastAsia="en-GB"/>
              </w:rPr>
            </w:pPr>
            <w:r>
              <w:rPr>
                <w:rFonts w:cs="Arial"/>
                <w:sz w:val="20"/>
                <w:szCs w:val="20"/>
              </w:rPr>
              <w:t xml:space="preserve">0.064 </w:t>
            </w:r>
          </w:p>
        </w:tc>
      </w:tr>
      <w:tr w:rsidR="00431B9C" w:rsidRPr="00BB6003" w14:paraId="1A55A6E6" w14:textId="77777777" w:rsidTr="00431B9C">
        <w:trPr>
          <w:trHeight w:val="261"/>
        </w:trPr>
        <w:tc>
          <w:tcPr>
            <w:tcW w:w="837" w:type="dxa"/>
            <w:tcBorders>
              <w:top w:val="nil"/>
              <w:left w:val="single" w:sz="4" w:space="0" w:color="auto"/>
              <w:bottom w:val="single" w:sz="4" w:space="0" w:color="auto"/>
              <w:right w:val="single" w:sz="4" w:space="0" w:color="auto"/>
            </w:tcBorders>
            <w:shd w:val="clear" w:color="000000" w:fill="FFFFFF"/>
            <w:noWrap/>
            <w:hideMark/>
          </w:tcPr>
          <w:p w14:paraId="20147172" w14:textId="48395258" w:rsidR="00431B9C" w:rsidRPr="00BB6003" w:rsidRDefault="00622590" w:rsidP="0049320F">
            <w:pPr>
              <w:autoSpaceDE/>
              <w:autoSpaceDN/>
              <w:adjustRightInd/>
              <w:spacing w:after="0"/>
              <w:rPr>
                <w:rFonts w:eastAsia="Times New Roman" w:cs="Arial"/>
                <w:b/>
                <w:bCs/>
                <w:sz w:val="20"/>
                <w:szCs w:val="20"/>
                <w:lang w:eastAsia="en-GB"/>
              </w:rPr>
            </w:pPr>
            <w:r>
              <w:rPr>
                <w:rFonts w:eastAsia="Times New Roman" w:cs="Arial"/>
                <w:b/>
                <w:bCs/>
                <w:sz w:val="20"/>
                <w:szCs w:val="20"/>
                <w:lang w:eastAsia="en-GB"/>
              </w:rPr>
              <w:t>3.5</w:t>
            </w:r>
            <w:r w:rsidR="00431B9C" w:rsidRPr="00BB6003">
              <w:rPr>
                <w:rFonts w:eastAsia="Times New Roman" w:cs="Arial"/>
                <w:b/>
                <w:bCs/>
                <w:sz w:val="20"/>
                <w:szCs w:val="20"/>
                <w:lang w:eastAsia="en-GB"/>
              </w:rPr>
              <w:t>.10</w:t>
            </w:r>
          </w:p>
        </w:tc>
        <w:tc>
          <w:tcPr>
            <w:tcW w:w="3921" w:type="dxa"/>
            <w:tcBorders>
              <w:top w:val="nil"/>
              <w:left w:val="nil"/>
              <w:bottom w:val="single" w:sz="4" w:space="0" w:color="auto"/>
              <w:right w:val="single" w:sz="4" w:space="0" w:color="auto"/>
            </w:tcBorders>
            <w:shd w:val="clear" w:color="000000" w:fill="FFFFFF"/>
            <w:hideMark/>
          </w:tcPr>
          <w:p w14:paraId="4B50DCDC" w14:textId="77777777" w:rsidR="00431B9C" w:rsidRPr="00BB6003" w:rsidRDefault="00431B9C" w:rsidP="00F33AA4">
            <w:pPr>
              <w:autoSpaceDE/>
              <w:autoSpaceDN/>
              <w:adjustRightInd/>
              <w:spacing w:after="0"/>
              <w:jc w:val="left"/>
              <w:rPr>
                <w:rFonts w:eastAsia="Times New Roman" w:cs="Arial"/>
                <w:sz w:val="20"/>
                <w:szCs w:val="20"/>
                <w:lang w:eastAsia="en-GB"/>
              </w:rPr>
            </w:pPr>
            <w:r>
              <w:rPr>
                <w:rFonts w:cs="Arial"/>
                <w:sz w:val="20"/>
                <w:szCs w:val="20"/>
              </w:rPr>
              <w:t>STRATEGIC ECONOMIC DEVELOPMENT</w:t>
            </w:r>
          </w:p>
        </w:tc>
        <w:tc>
          <w:tcPr>
            <w:tcW w:w="1445" w:type="dxa"/>
            <w:tcBorders>
              <w:top w:val="nil"/>
              <w:left w:val="nil"/>
              <w:bottom w:val="single" w:sz="4" w:space="0" w:color="auto"/>
              <w:right w:val="single" w:sz="4" w:space="0" w:color="auto"/>
            </w:tcBorders>
            <w:shd w:val="clear" w:color="000000" w:fill="FFFFFF"/>
            <w:hideMark/>
          </w:tcPr>
          <w:p w14:paraId="7835B178" w14:textId="77777777" w:rsidR="00431B9C" w:rsidRPr="00BB6003" w:rsidRDefault="00431B9C" w:rsidP="0049320F">
            <w:pPr>
              <w:autoSpaceDE/>
              <w:autoSpaceDN/>
              <w:adjustRightInd/>
              <w:spacing w:after="0"/>
              <w:rPr>
                <w:rFonts w:eastAsia="Times New Roman" w:cs="Arial"/>
                <w:sz w:val="20"/>
                <w:szCs w:val="20"/>
                <w:lang w:eastAsia="en-GB"/>
              </w:rPr>
            </w:pPr>
            <w:r>
              <w:rPr>
                <w:rFonts w:cs="Arial"/>
                <w:sz w:val="20"/>
                <w:szCs w:val="20"/>
              </w:rPr>
              <w:t xml:space="preserve">0.080 </w:t>
            </w:r>
          </w:p>
        </w:tc>
        <w:tc>
          <w:tcPr>
            <w:tcW w:w="1442" w:type="dxa"/>
            <w:tcBorders>
              <w:top w:val="nil"/>
              <w:left w:val="nil"/>
              <w:bottom w:val="single" w:sz="4" w:space="0" w:color="auto"/>
              <w:right w:val="single" w:sz="4" w:space="0" w:color="auto"/>
            </w:tcBorders>
            <w:shd w:val="clear" w:color="000000" w:fill="FFFFFF"/>
            <w:hideMark/>
          </w:tcPr>
          <w:p w14:paraId="3EE648B9" w14:textId="77777777" w:rsidR="00431B9C" w:rsidRPr="00BB6003" w:rsidRDefault="00431B9C" w:rsidP="0049320F">
            <w:pPr>
              <w:autoSpaceDE/>
              <w:autoSpaceDN/>
              <w:adjustRightInd/>
              <w:spacing w:after="0"/>
              <w:rPr>
                <w:rFonts w:eastAsia="Times New Roman" w:cs="Arial"/>
                <w:sz w:val="20"/>
                <w:szCs w:val="20"/>
                <w:lang w:eastAsia="en-GB"/>
              </w:rPr>
            </w:pPr>
            <w:r>
              <w:rPr>
                <w:rFonts w:cs="Arial"/>
                <w:sz w:val="20"/>
                <w:szCs w:val="20"/>
              </w:rPr>
              <w:t xml:space="preserve">0.080 </w:t>
            </w:r>
          </w:p>
        </w:tc>
        <w:tc>
          <w:tcPr>
            <w:tcW w:w="1442" w:type="dxa"/>
            <w:tcBorders>
              <w:top w:val="nil"/>
              <w:left w:val="nil"/>
              <w:bottom w:val="single" w:sz="4" w:space="0" w:color="auto"/>
              <w:right w:val="single" w:sz="4" w:space="0" w:color="auto"/>
            </w:tcBorders>
            <w:shd w:val="clear" w:color="000000" w:fill="FFFFFF"/>
            <w:hideMark/>
          </w:tcPr>
          <w:p w14:paraId="2380AC10" w14:textId="77777777" w:rsidR="00431B9C" w:rsidRPr="00BB6003" w:rsidRDefault="00431B9C" w:rsidP="0049320F">
            <w:pPr>
              <w:autoSpaceDE/>
              <w:autoSpaceDN/>
              <w:adjustRightInd/>
              <w:spacing w:after="0"/>
              <w:rPr>
                <w:rFonts w:eastAsia="Times New Roman" w:cs="Arial"/>
                <w:sz w:val="20"/>
                <w:szCs w:val="20"/>
                <w:lang w:eastAsia="en-GB"/>
              </w:rPr>
            </w:pPr>
            <w:r>
              <w:rPr>
                <w:rFonts w:cs="Arial"/>
                <w:sz w:val="20"/>
                <w:szCs w:val="20"/>
              </w:rPr>
              <w:t xml:space="preserve">0.000 </w:t>
            </w:r>
          </w:p>
        </w:tc>
      </w:tr>
      <w:tr w:rsidR="00431B9C" w:rsidRPr="00BB6003" w14:paraId="4AF920C5" w14:textId="77777777" w:rsidTr="00431B9C">
        <w:trPr>
          <w:trHeight w:val="261"/>
        </w:trPr>
        <w:tc>
          <w:tcPr>
            <w:tcW w:w="837" w:type="dxa"/>
            <w:tcBorders>
              <w:top w:val="nil"/>
              <w:left w:val="single" w:sz="4" w:space="0" w:color="auto"/>
              <w:bottom w:val="single" w:sz="4" w:space="0" w:color="auto"/>
              <w:right w:val="single" w:sz="4" w:space="0" w:color="auto"/>
            </w:tcBorders>
            <w:shd w:val="clear" w:color="000000" w:fill="FFFFFF"/>
            <w:noWrap/>
            <w:hideMark/>
          </w:tcPr>
          <w:p w14:paraId="62F08B29" w14:textId="049108BD" w:rsidR="00431B9C" w:rsidRPr="00BB6003" w:rsidRDefault="00622590" w:rsidP="0049320F">
            <w:pPr>
              <w:autoSpaceDE/>
              <w:autoSpaceDN/>
              <w:adjustRightInd/>
              <w:spacing w:after="0"/>
              <w:rPr>
                <w:rFonts w:eastAsia="Times New Roman" w:cs="Arial"/>
                <w:b/>
                <w:bCs/>
                <w:sz w:val="20"/>
                <w:szCs w:val="20"/>
                <w:lang w:eastAsia="en-GB"/>
              </w:rPr>
            </w:pPr>
            <w:r>
              <w:rPr>
                <w:rFonts w:eastAsia="Times New Roman" w:cs="Arial"/>
                <w:b/>
                <w:bCs/>
                <w:sz w:val="20"/>
                <w:szCs w:val="20"/>
                <w:lang w:eastAsia="en-GB"/>
              </w:rPr>
              <w:t>3.5</w:t>
            </w:r>
            <w:r w:rsidR="00431B9C" w:rsidRPr="00BB6003">
              <w:rPr>
                <w:rFonts w:eastAsia="Times New Roman" w:cs="Arial"/>
                <w:b/>
                <w:bCs/>
                <w:sz w:val="20"/>
                <w:szCs w:val="20"/>
                <w:lang w:eastAsia="en-GB"/>
              </w:rPr>
              <w:t>.11</w:t>
            </w:r>
          </w:p>
        </w:tc>
        <w:tc>
          <w:tcPr>
            <w:tcW w:w="3921" w:type="dxa"/>
            <w:tcBorders>
              <w:top w:val="nil"/>
              <w:left w:val="nil"/>
              <w:bottom w:val="single" w:sz="4" w:space="0" w:color="auto"/>
              <w:right w:val="single" w:sz="4" w:space="0" w:color="auto"/>
            </w:tcBorders>
            <w:shd w:val="clear" w:color="000000" w:fill="FFFFFF"/>
            <w:hideMark/>
          </w:tcPr>
          <w:p w14:paraId="41179A48" w14:textId="77777777" w:rsidR="00431B9C" w:rsidRPr="00BB6003" w:rsidRDefault="00431B9C" w:rsidP="00F33AA4">
            <w:pPr>
              <w:autoSpaceDE/>
              <w:autoSpaceDN/>
              <w:adjustRightInd/>
              <w:spacing w:after="0"/>
              <w:jc w:val="left"/>
              <w:rPr>
                <w:rFonts w:eastAsia="Times New Roman" w:cs="Arial"/>
                <w:sz w:val="20"/>
                <w:szCs w:val="20"/>
                <w:lang w:eastAsia="en-GB"/>
              </w:rPr>
            </w:pPr>
            <w:r>
              <w:rPr>
                <w:rFonts w:cs="Arial"/>
                <w:sz w:val="20"/>
                <w:szCs w:val="20"/>
              </w:rPr>
              <w:t>PROGRAMMES &amp; PROJECT MGT</w:t>
            </w:r>
          </w:p>
        </w:tc>
        <w:tc>
          <w:tcPr>
            <w:tcW w:w="1445" w:type="dxa"/>
            <w:tcBorders>
              <w:top w:val="nil"/>
              <w:left w:val="nil"/>
              <w:bottom w:val="single" w:sz="4" w:space="0" w:color="auto"/>
              <w:right w:val="single" w:sz="4" w:space="0" w:color="auto"/>
            </w:tcBorders>
            <w:shd w:val="clear" w:color="000000" w:fill="FFFFFF"/>
            <w:hideMark/>
          </w:tcPr>
          <w:p w14:paraId="418695B2" w14:textId="77777777" w:rsidR="00431B9C" w:rsidRPr="00BB6003" w:rsidRDefault="00431B9C" w:rsidP="0049320F">
            <w:pPr>
              <w:autoSpaceDE/>
              <w:autoSpaceDN/>
              <w:adjustRightInd/>
              <w:spacing w:after="0"/>
              <w:rPr>
                <w:rFonts w:eastAsia="Times New Roman" w:cs="Arial"/>
                <w:sz w:val="20"/>
                <w:szCs w:val="20"/>
                <w:lang w:eastAsia="en-GB"/>
              </w:rPr>
            </w:pPr>
            <w:r>
              <w:rPr>
                <w:rFonts w:cs="Arial"/>
                <w:sz w:val="20"/>
                <w:szCs w:val="20"/>
              </w:rPr>
              <w:t xml:space="preserve">0.119 </w:t>
            </w:r>
          </w:p>
        </w:tc>
        <w:tc>
          <w:tcPr>
            <w:tcW w:w="1442" w:type="dxa"/>
            <w:tcBorders>
              <w:top w:val="nil"/>
              <w:left w:val="nil"/>
              <w:bottom w:val="single" w:sz="4" w:space="0" w:color="auto"/>
              <w:right w:val="single" w:sz="4" w:space="0" w:color="auto"/>
            </w:tcBorders>
            <w:shd w:val="clear" w:color="000000" w:fill="FFFFFF"/>
            <w:hideMark/>
          </w:tcPr>
          <w:p w14:paraId="6329A9D3" w14:textId="77777777" w:rsidR="00431B9C" w:rsidRPr="00BB6003" w:rsidRDefault="00431B9C" w:rsidP="0049320F">
            <w:pPr>
              <w:autoSpaceDE/>
              <w:autoSpaceDN/>
              <w:adjustRightInd/>
              <w:spacing w:after="0"/>
              <w:rPr>
                <w:rFonts w:eastAsia="Times New Roman" w:cs="Arial"/>
                <w:sz w:val="20"/>
                <w:szCs w:val="20"/>
                <w:lang w:eastAsia="en-GB"/>
              </w:rPr>
            </w:pPr>
            <w:r>
              <w:rPr>
                <w:rFonts w:cs="Arial"/>
                <w:sz w:val="20"/>
                <w:szCs w:val="20"/>
              </w:rPr>
              <w:t xml:space="preserve">0.119 </w:t>
            </w:r>
          </w:p>
        </w:tc>
        <w:tc>
          <w:tcPr>
            <w:tcW w:w="1442" w:type="dxa"/>
            <w:tcBorders>
              <w:top w:val="nil"/>
              <w:left w:val="nil"/>
              <w:bottom w:val="single" w:sz="4" w:space="0" w:color="auto"/>
              <w:right w:val="single" w:sz="4" w:space="0" w:color="auto"/>
            </w:tcBorders>
            <w:shd w:val="clear" w:color="000000" w:fill="FFFFFF"/>
            <w:hideMark/>
          </w:tcPr>
          <w:p w14:paraId="5064ED86" w14:textId="77777777" w:rsidR="00431B9C" w:rsidRPr="00BB6003" w:rsidRDefault="00431B9C" w:rsidP="0049320F">
            <w:pPr>
              <w:autoSpaceDE/>
              <w:autoSpaceDN/>
              <w:adjustRightInd/>
              <w:spacing w:after="0"/>
              <w:rPr>
                <w:rFonts w:eastAsia="Times New Roman" w:cs="Arial"/>
                <w:sz w:val="20"/>
                <w:szCs w:val="20"/>
                <w:lang w:eastAsia="en-GB"/>
              </w:rPr>
            </w:pPr>
            <w:r>
              <w:rPr>
                <w:rFonts w:cs="Arial"/>
                <w:sz w:val="20"/>
                <w:szCs w:val="20"/>
              </w:rPr>
              <w:t xml:space="preserve">0.000 </w:t>
            </w:r>
          </w:p>
        </w:tc>
      </w:tr>
      <w:tr w:rsidR="00431B9C" w:rsidRPr="00BB6003" w14:paraId="2CF1322E" w14:textId="77777777" w:rsidTr="00431B9C">
        <w:trPr>
          <w:trHeight w:val="261"/>
        </w:trPr>
        <w:tc>
          <w:tcPr>
            <w:tcW w:w="837" w:type="dxa"/>
            <w:tcBorders>
              <w:top w:val="nil"/>
              <w:left w:val="single" w:sz="4" w:space="0" w:color="auto"/>
              <w:bottom w:val="single" w:sz="4" w:space="0" w:color="auto"/>
              <w:right w:val="single" w:sz="4" w:space="0" w:color="auto"/>
            </w:tcBorders>
            <w:shd w:val="clear" w:color="000000" w:fill="FFFFFF"/>
            <w:noWrap/>
            <w:hideMark/>
          </w:tcPr>
          <w:p w14:paraId="526AFF68" w14:textId="30B5C59D" w:rsidR="00431B9C" w:rsidRPr="00BB6003" w:rsidRDefault="00622590" w:rsidP="0049320F">
            <w:pPr>
              <w:autoSpaceDE/>
              <w:autoSpaceDN/>
              <w:adjustRightInd/>
              <w:spacing w:after="0"/>
              <w:rPr>
                <w:rFonts w:eastAsia="Times New Roman" w:cs="Arial"/>
                <w:b/>
                <w:bCs/>
                <w:sz w:val="20"/>
                <w:szCs w:val="20"/>
                <w:lang w:eastAsia="en-GB"/>
              </w:rPr>
            </w:pPr>
            <w:r>
              <w:rPr>
                <w:rFonts w:eastAsia="Times New Roman" w:cs="Arial"/>
                <w:b/>
                <w:bCs/>
                <w:sz w:val="20"/>
                <w:szCs w:val="20"/>
                <w:lang w:eastAsia="en-GB"/>
              </w:rPr>
              <w:t>3.5</w:t>
            </w:r>
            <w:r w:rsidR="00431B9C" w:rsidRPr="00BB6003">
              <w:rPr>
                <w:rFonts w:eastAsia="Times New Roman" w:cs="Arial"/>
                <w:b/>
                <w:bCs/>
                <w:sz w:val="20"/>
                <w:szCs w:val="20"/>
                <w:lang w:eastAsia="en-GB"/>
              </w:rPr>
              <w:t>.12</w:t>
            </w:r>
          </w:p>
        </w:tc>
        <w:tc>
          <w:tcPr>
            <w:tcW w:w="3921" w:type="dxa"/>
            <w:tcBorders>
              <w:top w:val="nil"/>
              <w:left w:val="nil"/>
              <w:bottom w:val="single" w:sz="4" w:space="0" w:color="auto"/>
              <w:right w:val="single" w:sz="4" w:space="0" w:color="auto"/>
            </w:tcBorders>
            <w:shd w:val="clear" w:color="000000" w:fill="FFFFFF"/>
            <w:hideMark/>
          </w:tcPr>
          <w:p w14:paraId="6DD50A73" w14:textId="77777777" w:rsidR="00431B9C" w:rsidRPr="00BB6003" w:rsidRDefault="00431B9C" w:rsidP="00F33AA4">
            <w:pPr>
              <w:autoSpaceDE/>
              <w:autoSpaceDN/>
              <w:adjustRightInd/>
              <w:spacing w:after="0"/>
              <w:jc w:val="left"/>
              <w:rPr>
                <w:rFonts w:eastAsia="Times New Roman" w:cs="Arial"/>
                <w:sz w:val="20"/>
                <w:szCs w:val="20"/>
                <w:lang w:eastAsia="en-GB"/>
              </w:rPr>
            </w:pPr>
            <w:r>
              <w:rPr>
                <w:rFonts w:cs="Arial"/>
                <w:sz w:val="20"/>
                <w:szCs w:val="20"/>
              </w:rPr>
              <w:t>DESIGN and CONSTRUCTION</w:t>
            </w:r>
          </w:p>
        </w:tc>
        <w:tc>
          <w:tcPr>
            <w:tcW w:w="1445" w:type="dxa"/>
            <w:tcBorders>
              <w:top w:val="nil"/>
              <w:left w:val="nil"/>
              <w:bottom w:val="single" w:sz="4" w:space="0" w:color="auto"/>
              <w:right w:val="single" w:sz="4" w:space="0" w:color="auto"/>
            </w:tcBorders>
            <w:shd w:val="clear" w:color="000000" w:fill="FFFFFF"/>
            <w:hideMark/>
          </w:tcPr>
          <w:p w14:paraId="20FEDD88" w14:textId="77777777" w:rsidR="00431B9C" w:rsidRPr="00BB6003" w:rsidRDefault="00431B9C" w:rsidP="0049320F">
            <w:pPr>
              <w:autoSpaceDE/>
              <w:autoSpaceDN/>
              <w:adjustRightInd/>
              <w:spacing w:after="0"/>
              <w:rPr>
                <w:rFonts w:eastAsia="Times New Roman" w:cs="Arial"/>
                <w:sz w:val="20"/>
                <w:szCs w:val="20"/>
                <w:lang w:eastAsia="en-GB"/>
              </w:rPr>
            </w:pPr>
            <w:r>
              <w:rPr>
                <w:rFonts w:cs="Arial"/>
                <w:sz w:val="20"/>
                <w:szCs w:val="20"/>
              </w:rPr>
              <w:t xml:space="preserve">2.406 </w:t>
            </w:r>
          </w:p>
        </w:tc>
        <w:tc>
          <w:tcPr>
            <w:tcW w:w="1442" w:type="dxa"/>
            <w:tcBorders>
              <w:top w:val="nil"/>
              <w:left w:val="nil"/>
              <w:bottom w:val="single" w:sz="4" w:space="0" w:color="auto"/>
              <w:right w:val="single" w:sz="4" w:space="0" w:color="auto"/>
            </w:tcBorders>
            <w:shd w:val="clear" w:color="000000" w:fill="FFFFFF"/>
            <w:hideMark/>
          </w:tcPr>
          <w:p w14:paraId="6C8578B4" w14:textId="77777777" w:rsidR="00431B9C" w:rsidRPr="00BB6003" w:rsidRDefault="00431B9C" w:rsidP="0049320F">
            <w:pPr>
              <w:autoSpaceDE/>
              <w:autoSpaceDN/>
              <w:adjustRightInd/>
              <w:spacing w:after="0"/>
              <w:rPr>
                <w:rFonts w:eastAsia="Times New Roman" w:cs="Arial"/>
                <w:sz w:val="20"/>
                <w:szCs w:val="20"/>
                <w:lang w:eastAsia="en-GB"/>
              </w:rPr>
            </w:pPr>
            <w:r>
              <w:rPr>
                <w:rFonts w:cs="Arial"/>
                <w:sz w:val="20"/>
                <w:szCs w:val="20"/>
              </w:rPr>
              <w:t xml:space="preserve">2.275 </w:t>
            </w:r>
          </w:p>
        </w:tc>
        <w:tc>
          <w:tcPr>
            <w:tcW w:w="1442" w:type="dxa"/>
            <w:tcBorders>
              <w:top w:val="nil"/>
              <w:left w:val="nil"/>
              <w:bottom w:val="single" w:sz="4" w:space="0" w:color="auto"/>
              <w:right w:val="single" w:sz="4" w:space="0" w:color="auto"/>
            </w:tcBorders>
            <w:shd w:val="clear" w:color="000000" w:fill="FFFFFF"/>
            <w:hideMark/>
          </w:tcPr>
          <w:p w14:paraId="57748A79" w14:textId="77777777" w:rsidR="00431B9C" w:rsidRPr="00BB6003" w:rsidRDefault="00431B9C" w:rsidP="0049320F">
            <w:pPr>
              <w:autoSpaceDE/>
              <w:autoSpaceDN/>
              <w:adjustRightInd/>
              <w:spacing w:after="0"/>
              <w:rPr>
                <w:rFonts w:eastAsia="Times New Roman" w:cs="Arial"/>
                <w:sz w:val="20"/>
                <w:szCs w:val="20"/>
                <w:lang w:eastAsia="en-GB"/>
              </w:rPr>
            </w:pPr>
            <w:r>
              <w:rPr>
                <w:rFonts w:cs="Arial"/>
                <w:sz w:val="20"/>
                <w:szCs w:val="20"/>
              </w:rPr>
              <w:t xml:space="preserve">-0.131 </w:t>
            </w:r>
          </w:p>
        </w:tc>
      </w:tr>
      <w:tr w:rsidR="00431B9C" w:rsidRPr="00BB6003" w14:paraId="489CDB2E" w14:textId="77777777" w:rsidTr="00431B9C">
        <w:trPr>
          <w:trHeight w:val="261"/>
        </w:trPr>
        <w:tc>
          <w:tcPr>
            <w:tcW w:w="837" w:type="dxa"/>
            <w:tcBorders>
              <w:top w:val="nil"/>
              <w:left w:val="single" w:sz="4" w:space="0" w:color="auto"/>
              <w:bottom w:val="single" w:sz="4" w:space="0" w:color="auto"/>
              <w:right w:val="single" w:sz="4" w:space="0" w:color="auto"/>
            </w:tcBorders>
            <w:shd w:val="clear" w:color="000000" w:fill="FFFFFF"/>
            <w:noWrap/>
            <w:hideMark/>
          </w:tcPr>
          <w:p w14:paraId="3C1EC99B" w14:textId="46081B80" w:rsidR="00431B9C" w:rsidRPr="00BB6003" w:rsidRDefault="00622590" w:rsidP="0049320F">
            <w:pPr>
              <w:autoSpaceDE/>
              <w:autoSpaceDN/>
              <w:adjustRightInd/>
              <w:spacing w:after="0"/>
              <w:rPr>
                <w:rFonts w:eastAsia="Times New Roman" w:cs="Arial"/>
                <w:b/>
                <w:bCs/>
                <w:sz w:val="20"/>
                <w:szCs w:val="20"/>
                <w:lang w:eastAsia="en-GB"/>
              </w:rPr>
            </w:pPr>
            <w:r>
              <w:rPr>
                <w:rFonts w:eastAsia="Times New Roman" w:cs="Arial"/>
                <w:b/>
                <w:bCs/>
                <w:sz w:val="20"/>
                <w:szCs w:val="20"/>
                <w:lang w:eastAsia="en-GB"/>
              </w:rPr>
              <w:t>3.5</w:t>
            </w:r>
            <w:r w:rsidR="00431B9C" w:rsidRPr="00BB6003">
              <w:rPr>
                <w:rFonts w:eastAsia="Times New Roman" w:cs="Arial"/>
                <w:b/>
                <w:bCs/>
                <w:sz w:val="20"/>
                <w:szCs w:val="20"/>
                <w:lang w:eastAsia="en-GB"/>
              </w:rPr>
              <w:t>.13</w:t>
            </w:r>
          </w:p>
        </w:tc>
        <w:tc>
          <w:tcPr>
            <w:tcW w:w="3921" w:type="dxa"/>
            <w:tcBorders>
              <w:top w:val="nil"/>
              <w:left w:val="nil"/>
              <w:bottom w:val="single" w:sz="4" w:space="0" w:color="auto"/>
              <w:right w:val="single" w:sz="4" w:space="0" w:color="auto"/>
            </w:tcBorders>
            <w:shd w:val="clear" w:color="000000" w:fill="FFFFFF"/>
            <w:hideMark/>
          </w:tcPr>
          <w:p w14:paraId="0429104F" w14:textId="77777777" w:rsidR="00431B9C" w:rsidRPr="00BB6003" w:rsidRDefault="00431B9C" w:rsidP="00F33AA4">
            <w:pPr>
              <w:autoSpaceDE/>
              <w:autoSpaceDN/>
              <w:adjustRightInd/>
              <w:spacing w:after="0"/>
              <w:jc w:val="left"/>
              <w:rPr>
                <w:rFonts w:eastAsia="Times New Roman" w:cs="Arial"/>
                <w:sz w:val="20"/>
                <w:szCs w:val="20"/>
                <w:lang w:eastAsia="en-GB"/>
              </w:rPr>
            </w:pPr>
            <w:r>
              <w:rPr>
                <w:rFonts w:cs="Arial"/>
                <w:sz w:val="20"/>
                <w:szCs w:val="20"/>
              </w:rPr>
              <w:t>ESTATES</w:t>
            </w:r>
          </w:p>
        </w:tc>
        <w:tc>
          <w:tcPr>
            <w:tcW w:w="1445" w:type="dxa"/>
            <w:tcBorders>
              <w:top w:val="nil"/>
              <w:left w:val="nil"/>
              <w:bottom w:val="single" w:sz="4" w:space="0" w:color="auto"/>
              <w:right w:val="single" w:sz="4" w:space="0" w:color="auto"/>
            </w:tcBorders>
            <w:shd w:val="clear" w:color="000000" w:fill="FFFFFF"/>
            <w:hideMark/>
          </w:tcPr>
          <w:p w14:paraId="366367BD" w14:textId="77777777" w:rsidR="00431B9C" w:rsidRPr="00BB6003" w:rsidRDefault="00431B9C" w:rsidP="0049320F">
            <w:pPr>
              <w:autoSpaceDE/>
              <w:autoSpaceDN/>
              <w:adjustRightInd/>
              <w:spacing w:after="0"/>
              <w:rPr>
                <w:rFonts w:eastAsia="Times New Roman" w:cs="Arial"/>
                <w:sz w:val="20"/>
                <w:szCs w:val="20"/>
                <w:lang w:eastAsia="en-GB"/>
              </w:rPr>
            </w:pPr>
            <w:r>
              <w:rPr>
                <w:rFonts w:cs="Arial"/>
                <w:sz w:val="20"/>
                <w:szCs w:val="20"/>
              </w:rPr>
              <w:t xml:space="preserve">1.552 </w:t>
            </w:r>
          </w:p>
        </w:tc>
        <w:tc>
          <w:tcPr>
            <w:tcW w:w="1442" w:type="dxa"/>
            <w:tcBorders>
              <w:top w:val="nil"/>
              <w:left w:val="nil"/>
              <w:bottom w:val="single" w:sz="4" w:space="0" w:color="auto"/>
              <w:right w:val="single" w:sz="4" w:space="0" w:color="auto"/>
            </w:tcBorders>
            <w:shd w:val="clear" w:color="000000" w:fill="FFFFFF"/>
            <w:hideMark/>
          </w:tcPr>
          <w:p w14:paraId="1E8F8A9D" w14:textId="77777777" w:rsidR="00431B9C" w:rsidRPr="00BB6003" w:rsidRDefault="00431B9C" w:rsidP="0049320F">
            <w:pPr>
              <w:autoSpaceDE/>
              <w:autoSpaceDN/>
              <w:adjustRightInd/>
              <w:spacing w:after="0"/>
              <w:rPr>
                <w:rFonts w:eastAsia="Times New Roman" w:cs="Arial"/>
                <w:sz w:val="20"/>
                <w:szCs w:val="20"/>
                <w:lang w:eastAsia="en-GB"/>
              </w:rPr>
            </w:pPr>
            <w:r>
              <w:rPr>
                <w:rFonts w:cs="Arial"/>
                <w:sz w:val="20"/>
                <w:szCs w:val="20"/>
              </w:rPr>
              <w:t xml:space="preserve">1.552 </w:t>
            </w:r>
          </w:p>
        </w:tc>
        <w:tc>
          <w:tcPr>
            <w:tcW w:w="1442" w:type="dxa"/>
            <w:tcBorders>
              <w:top w:val="nil"/>
              <w:left w:val="nil"/>
              <w:bottom w:val="single" w:sz="4" w:space="0" w:color="auto"/>
              <w:right w:val="single" w:sz="4" w:space="0" w:color="auto"/>
            </w:tcBorders>
            <w:shd w:val="clear" w:color="000000" w:fill="FFFFFF"/>
            <w:hideMark/>
          </w:tcPr>
          <w:p w14:paraId="03C5716B" w14:textId="77777777" w:rsidR="00431B9C" w:rsidRPr="00BB6003" w:rsidRDefault="00431B9C" w:rsidP="0049320F">
            <w:pPr>
              <w:autoSpaceDE/>
              <w:autoSpaceDN/>
              <w:adjustRightInd/>
              <w:spacing w:after="0"/>
              <w:rPr>
                <w:rFonts w:eastAsia="Times New Roman" w:cs="Arial"/>
                <w:sz w:val="20"/>
                <w:szCs w:val="20"/>
                <w:lang w:eastAsia="en-GB"/>
              </w:rPr>
            </w:pPr>
            <w:r>
              <w:rPr>
                <w:rFonts w:cs="Arial"/>
                <w:sz w:val="20"/>
                <w:szCs w:val="20"/>
              </w:rPr>
              <w:t xml:space="preserve">0.000 </w:t>
            </w:r>
          </w:p>
        </w:tc>
      </w:tr>
      <w:tr w:rsidR="00431B9C" w:rsidRPr="00BB6003" w14:paraId="45477882" w14:textId="77777777" w:rsidTr="00431B9C">
        <w:trPr>
          <w:trHeight w:val="261"/>
        </w:trPr>
        <w:tc>
          <w:tcPr>
            <w:tcW w:w="837" w:type="dxa"/>
            <w:tcBorders>
              <w:top w:val="nil"/>
              <w:left w:val="single" w:sz="4" w:space="0" w:color="auto"/>
              <w:bottom w:val="single" w:sz="4" w:space="0" w:color="auto"/>
              <w:right w:val="single" w:sz="4" w:space="0" w:color="auto"/>
            </w:tcBorders>
            <w:shd w:val="clear" w:color="000000" w:fill="FFFFFF"/>
            <w:noWrap/>
            <w:hideMark/>
          </w:tcPr>
          <w:p w14:paraId="5548564B" w14:textId="1FC85368" w:rsidR="00431B9C" w:rsidRPr="00BB6003" w:rsidRDefault="00622590" w:rsidP="0049320F">
            <w:pPr>
              <w:autoSpaceDE/>
              <w:autoSpaceDN/>
              <w:adjustRightInd/>
              <w:spacing w:after="0"/>
              <w:rPr>
                <w:rFonts w:eastAsia="Times New Roman" w:cs="Arial"/>
                <w:b/>
                <w:bCs/>
                <w:sz w:val="20"/>
                <w:szCs w:val="20"/>
                <w:lang w:eastAsia="en-GB"/>
              </w:rPr>
            </w:pPr>
            <w:r>
              <w:rPr>
                <w:rFonts w:eastAsia="Times New Roman" w:cs="Arial"/>
                <w:b/>
                <w:bCs/>
                <w:sz w:val="20"/>
                <w:szCs w:val="20"/>
                <w:lang w:eastAsia="en-GB"/>
              </w:rPr>
              <w:t>3.5</w:t>
            </w:r>
            <w:r w:rsidR="00524679">
              <w:rPr>
                <w:rFonts w:eastAsia="Times New Roman" w:cs="Arial"/>
                <w:b/>
                <w:bCs/>
                <w:sz w:val="20"/>
                <w:szCs w:val="20"/>
                <w:lang w:eastAsia="en-GB"/>
              </w:rPr>
              <w:t>.14</w:t>
            </w:r>
          </w:p>
        </w:tc>
        <w:tc>
          <w:tcPr>
            <w:tcW w:w="3921" w:type="dxa"/>
            <w:tcBorders>
              <w:top w:val="nil"/>
              <w:left w:val="nil"/>
              <w:bottom w:val="single" w:sz="4" w:space="0" w:color="auto"/>
              <w:right w:val="single" w:sz="4" w:space="0" w:color="auto"/>
            </w:tcBorders>
            <w:shd w:val="clear" w:color="000000" w:fill="FFFFFF"/>
            <w:hideMark/>
          </w:tcPr>
          <w:p w14:paraId="5323717B" w14:textId="77777777" w:rsidR="00431B9C" w:rsidRPr="00BB6003" w:rsidRDefault="00431B9C" w:rsidP="00F33AA4">
            <w:pPr>
              <w:autoSpaceDE/>
              <w:autoSpaceDN/>
              <w:adjustRightInd/>
              <w:spacing w:after="0"/>
              <w:jc w:val="left"/>
              <w:rPr>
                <w:rFonts w:eastAsia="Times New Roman" w:cs="Arial"/>
                <w:sz w:val="20"/>
                <w:szCs w:val="20"/>
                <w:lang w:eastAsia="en-GB"/>
              </w:rPr>
            </w:pPr>
            <w:r>
              <w:rPr>
                <w:rFonts w:cs="Arial"/>
                <w:sz w:val="20"/>
                <w:szCs w:val="20"/>
              </w:rPr>
              <w:t>PLANNING AND ENVIRONMENT</w:t>
            </w:r>
          </w:p>
        </w:tc>
        <w:tc>
          <w:tcPr>
            <w:tcW w:w="1445" w:type="dxa"/>
            <w:tcBorders>
              <w:top w:val="nil"/>
              <w:left w:val="nil"/>
              <w:bottom w:val="single" w:sz="4" w:space="0" w:color="auto"/>
              <w:right w:val="single" w:sz="4" w:space="0" w:color="auto"/>
            </w:tcBorders>
            <w:shd w:val="clear" w:color="000000" w:fill="FFFFFF"/>
            <w:hideMark/>
          </w:tcPr>
          <w:p w14:paraId="11C56DA7" w14:textId="77777777" w:rsidR="00431B9C" w:rsidRPr="00BB6003" w:rsidRDefault="00431B9C" w:rsidP="0049320F">
            <w:pPr>
              <w:autoSpaceDE/>
              <w:autoSpaceDN/>
              <w:adjustRightInd/>
              <w:spacing w:after="0"/>
              <w:rPr>
                <w:rFonts w:eastAsia="Times New Roman" w:cs="Arial"/>
                <w:sz w:val="20"/>
                <w:szCs w:val="20"/>
                <w:lang w:eastAsia="en-GB"/>
              </w:rPr>
            </w:pPr>
            <w:r>
              <w:rPr>
                <w:rFonts w:cs="Arial"/>
                <w:sz w:val="20"/>
                <w:szCs w:val="20"/>
              </w:rPr>
              <w:t xml:space="preserve">1.614 </w:t>
            </w:r>
          </w:p>
        </w:tc>
        <w:tc>
          <w:tcPr>
            <w:tcW w:w="1442" w:type="dxa"/>
            <w:tcBorders>
              <w:top w:val="nil"/>
              <w:left w:val="nil"/>
              <w:bottom w:val="single" w:sz="4" w:space="0" w:color="auto"/>
              <w:right w:val="single" w:sz="4" w:space="0" w:color="auto"/>
            </w:tcBorders>
            <w:shd w:val="clear" w:color="000000" w:fill="FFFFFF"/>
            <w:hideMark/>
          </w:tcPr>
          <w:p w14:paraId="5E0C5DB5" w14:textId="77777777" w:rsidR="00431B9C" w:rsidRPr="00BB6003" w:rsidRDefault="00431B9C" w:rsidP="0049320F">
            <w:pPr>
              <w:autoSpaceDE/>
              <w:autoSpaceDN/>
              <w:adjustRightInd/>
              <w:spacing w:after="0"/>
              <w:rPr>
                <w:rFonts w:eastAsia="Times New Roman" w:cs="Arial"/>
                <w:sz w:val="20"/>
                <w:szCs w:val="20"/>
                <w:lang w:eastAsia="en-GB"/>
              </w:rPr>
            </w:pPr>
            <w:r>
              <w:rPr>
                <w:rFonts w:cs="Arial"/>
                <w:sz w:val="20"/>
                <w:szCs w:val="20"/>
              </w:rPr>
              <w:t xml:space="preserve">1.212 </w:t>
            </w:r>
          </w:p>
        </w:tc>
        <w:tc>
          <w:tcPr>
            <w:tcW w:w="1442" w:type="dxa"/>
            <w:tcBorders>
              <w:top w:val="nil"/>
              <w:left w:val="nil"/>
              <w:bottom w:val="single" w:sz="4" w:space="0" w:color="auto"/>
              <w:right w:val="single" w:sz="4" w:space="0" w:color="auto"/>
            </w:tcBorders>
            <w:shd w:val="clear" w:color="000000" w:fill="FFFFFF"/>
            <w:hideMark/>
          </w:tcPr>
          <w:p w14:paraId="1B73D1E1" w14:textId="77777777" w:rsidR="00431B9C" w:rsidRPr="00BB6003" w:rsidRDefault="00431B9C" w:rsidP="0049320F">
            <w:pPr>
              <w:autoSpaceDE/>
              <w:autoSpaceDN/>
              <w:adjustRightInd/>
              <w:spacing w:after="0"/>
              <w:rPr>
                <w:rFonts w:eastAsia="Times New Roman" w:cs="Arial"/>
                <w:sz w:val="20"/>
                <w:szCs w:val="20"/>
                <w:lang w:eastAsia="en-GB"/>
              </w:rPr>
            </w:pPr>
            <w:r>
              <w:rPr>
                <w:rFonts w:cs="Arial"/>
                <w:sz w:val="20"/>
                <w:szCs w:val="20"/>
              </w:rPr>
              <w:t xml:space="preserve">-0.402 </w:t>
            </w:r>
          </w:p>
        </w:tc>
      </w:tr>
      <w:tr w:rsidR="00431B9C" w:rsidRPr="00BB6003" w14:paraId="36404214" w14:textId="77777777" w:rsidTr="00431B9C">
        <w:trPr>
          <w:trHeight w:val="261"/>
        </w:trPr>
        <w:tc>
          <w:tcPr>
            <w:tcW w:w="837" w:type="dxa"/>
            <w:tcBorders>
              <w:top w:val="nil"/>
              <w:left w:val="single" w:sz="4" w:space="0" w:color="auto"/>
              <w:bottom w:val="single" w:sz="4" w:space="0" w:color="auto"/>
              <w:right w:val="single" w:sz="4" w:space="0" w:color="auto"/>
            </w:tcBorders>
            <w:shd w:val="clear" w:color="000000" w:fill="FFFFFF"/>
            <w:noWrap/>
            <w:hideMark/>
          </w:tcPr>
          <w:p w14:paraId="61E6EFE9" w14:textId="70CE6299" w:rsidR="00431B9C" w:rsidRPr="00BB6003" w:rsidRDefault="00622590" w:rsidP="0049320F">
            <w:pPr>
              <w:autoSpaceDE/>
              <w:autoSpaceDN/>
              <w:adjustRightInd/>
              <w:spacing w:after="0"/>
              <w:rPr>
                <w:rFonts w:eastAsia="Times New Roman" w:cs="Arial"/>
                <w:b/>
                <w:bCs/>
                <w:sz w:val="20"/>
                <w:szCs w:val="20"/>
                <w:lang w:eastAsia="en-GB"/>
              </w:rPr>
            </w:pPr>
            <w:r>
              <w:rPr>
                <w:rFonts w:eastAsia="Times New Roman" w:cs="Arial"/>
                <w:b/>
                <w:bCs/>
                <w:sz w:val="20"/>
                <w:szCs w:val="20"/>
                <w:lang w:eastAsia="en-GB"/>
              </w:rPr>
              <w:t>3.5</w:t>
            </w:r>
            <w:r w:rsidR="00524679">
              <w:rPr>
                <w:rFonts w:eastAsia="Times New Roman" w:cs="Arial"/>
                <w:b/>
                <w:bCs/>
                <w:sz w:val="20"/>
                <w:szCs w:val="20"/>
                <w:lang w:eastAsia="en-GB"/>
              </w:rPr>
              <w:t>.15</w:t>
            </w:r>
          </w:p>
        </w:tc>
        <w:tc>
          <w:tcPr>
            <w:tcW w:w="3921" w:type="dxa"/>
            <w:tcBorders>
              <w:top w:val="nil"/>
              <w:left w:val="nil"/>
              <w:bottom w:val="single" w:sz="4" w:space="0" w:color="auto"/>
              <w:right w:val="single" w:sz="4" w:space="0" w:color="auto"/>
            </w:tcBorders>
            <w:shd w:val="clear" w:color="000000" w:fill="FFFFFF"/>
            <w:hideMark/>
          </w:tcPr>
          <w:p w14:paraId="738EB1EE" w14:textId="77777777" w:rsidR="00431B9C" w:rsidRPr="00BB6003" w:rsidRDefault="00431B9C" w:rsidP="00F33AA4">
            <w:pPr>
              <w:autoSpaceDE/>
              <w:autoSpaceDN/>
              <w:adjustRightInd/>
              <w:spacing w:after="0"/>
              <w:jc w:val="left"/>
              <w:rPr>
                <w:rFonts w:eastAsia="Times New Roman" w:cs="Arial"/>
                <w:sz w:val="20"/>
                <w:szCs w:val="20"/>
                <w:lang w:eastAsia="en-GB"/>
              </w:rPr>
            </w:pPr>
            <w:r>
              <w:rPr>
                <w:rFonts w:cs="Arial"/>
                <w:sz w:val="20"/>
                <w:szCs w:val="20"/>
              </w:rPr>
              <w:t>PROGRAMME OFFICE</w:t>
            </w:r>
          </w:p>
        </w:tc>
        <w:tc>
          <w:tcPr>
            <w:tcW w:w="1445" w:type="dxa"/>
            <w:tcBorders>
              <w:top w:val="nil"/>
              <w:left w:val="nil"/>
              <w:bottom w:val="single" w:sz="4" w:space="0" w:color="auto"/>
              <w:right w:val="single" w:sz="4" w:space="0" w:color="auto"/>
            </w:tcBorders>
            <w:shd w:val="clear" w:color="000000" w:fill="FFFFFF"/>
            <w:hideMark/>
          </w:tcPr>
          <w:p w14:paraId="444CF411" w14:textId="77777777" w:rsidR="00431B9C" w:rsidRPr="00BB6003" w:rsidRDefault="00431B9C" w:rsidP="0049320F">
            <w:pPr>
              <w:autoSpaceDE/>
              <w:autoSpaceDN/>
              <w:adjustRightInd/>
              <w:spacing w:after="0"/>
              <w:rPr>
                <w:rFonts w:eastAsia="Times New Roman" w:cs="Arial"/>
                <w:sz w:val="20"/>
                <w:szCs w:val="20"/>
                <w:lang w:eastAsia="en-GB"/>
              </w:rPr>
            </w:pPr>
            <w:r>
              <w:rPr>
                <w:rFonts w:cs="Arial"/>
                <w:sz w:val="20"/>
                <w:szCs w:val="20"/>
              </w:rPr>
              <w:t xml:space="preserve">0.102 </w:t>
            </w:r>
          </w:p>
        </w:tc>
        <w:tc>
          <w:tcPr>
            <w:tcW w:w="1442" w:type="dxa"/>
            <w:tcBorders>
              <w:top w:val="nil"/>
              <w:left w:val="nil"/>
              <w:bottom w:val="single" w:sz="4" w:space="0" w:color="auto"/>
              <w:right w:val="single" w:sz="4" w:space="0" w:color="auto"/>
            </w:tcBorders>
            <w:shd w:val="clear" w:color="000000" w:fill="FFFFFF"/>
            <w:hideMark/>
          </w:tcPr>
          <w:p w14:paraId="573C0CB6" w14:textId="77777777" w:rsidR="00431B9C" w:rsidRPr="00BB6003" w:rsidRDefault="00431B9C" w:rsidP="0049320F">
            <w:pPr>
              <w:autoSpaceDE/>
              <w:autoSpaceDN/>
              <w:adjustRightInd/>
              <w:spacing w:after="0"/>
              <w:rPr>
                <w:rFonts w:eastAsia="Times New Roman" w:cs="Arial"/>
                <w:sz w:val="20"/>
                <w:szCs w:val="20"/>
                <w:lang w:eastAsia="en-GB"/>
              </w:rPr>
            </w:pPr>
            <w:r>
              <w:rPr>
                <w:rFonts w:cs="Arial"/>
                <w:sz w:val="20"/>
                <w:szCs w:val="20"/>
              </w:rPr>
              <w:t xml:space="preserve">0.102 </w:t>
            </w:r>
          </w:p>
        </w:tc>
        <w:tc>
          <w:tcPr>
            <w:tcW w:w="1442" w:type="dxa"/>
            <w:tcBorders>
              <w:top w:val="nil"/>
              <w:left w:val="nil"/>
              <w:bottom w:val="single" w:sz="4" w:space="0" w:color="auto"/>
              <w:right w:val="single" w:sz="4" w:space="0" w:color="auto"/>
            </w:tcBorders>
            <w:shd w:val="clear" w:color="000000" w:fill="FFFFFF"/>
            <w:hideMark/>
          </w:tcPr>
          <w:p w14:paraId="35C08878" w14:textId="77777777" w:rsidR="00431B9C" w:rsidRPr="00BB6003" w:rsidRDefault="00431B9C" w:rsidP="0049320F">
            <w:pPr>
              <w:autoSpaceDE/>
              <w:autoSpaceDN/>
              <w:adjustRightInd/>
              <w:spacing w:after="0"/>
              <w:rPr>
                <w:rFonts w:eastAsia="Times New Roman" w:cs="Arial"/>
                <w:sz w:val="20"/>
                <w:szCs w:val="20"/>
                <w:lang w:eastAsia="en-GB"/>
              </w:rPr>
            </w:pPr>
            <w:r>
              <w:rPr>
                <w:rFonts w:cs="Arial"/>
                <w:sz w:val="20"/>
                <w:szCs w:val="20"/>
              </w:rPr>
              <w:t xml:space="preserve">0.000 </w:t>
            </w:r>
          </w:p>
        </w:tc>
      </w:tr>
      <w:tr w:rsidR="00431B9C" w:rsidRPr="00BB6003" w14:paraId="57B4C1A9" w14:textId="77777777" w:rsidTr="00431B9C">
        <w:trPr>
          <w:trHeight w:val="522"/>
        </w:trPr>
        <w:tc>
          <w:tcPr>
            <w:tcW w:w="837" w:type="dxa"/>
            <w:tcBorders>
              <w:top w:val="nil"/>
              <w:left w:val="single" w:sz="4" w:space="0" w:color="auto"/>
              <w:bottom w:val="single" w:sz="4" w:space="0" w:color="auto"/>
              <w:right w:val="single" w:sz="4" w:space="0" w:color="auto"/>
            </w:tcBorders>
            <w:shd w:val="clear" w:color="000000" w:fill="FFFFFF"/>
            <w:noWrap/>
            <w:hideMark/>
          </w:tcPr>
          <w:p w14:paraId="5A33D4FA" w14:textId="5A15E3D6" w:rsidR="00431B9C" w:rsidRPr="00BB6003" w:rsidRDefault="00622590" w:rsidP="0049320F">
            <w:pPr>
              <w:autoSpaceDE/>
              <w:autoSpaceDN/>
              <w:adjustRightInd/>
              <w:spacing w:after="0"/>
              <w:rPr>
                <w:rFonts w:eastAsia="Times New Roman" w:cs="Arial"/>
                <w:b/>
                <w:bCs/>
                <w:sz w:val="20"/>
                <w:szCs w:val="20"/>
                <w:lang w:eastAsia="en-GB"/>
              </w:rPr>
            </w:pPr>
            <w:r>
              <w:rPr>
                <w:rFonts w:eastAsia="Times New Roman" w:cs="Arial"/>
                <w:b/>
                <w:bCs/>
                <w:sz w:val="20"/>
                <w:szCs w:val="20"/>
                <w:lang w:eastAsia="en-GB"/>
              </w:rPr>
              <w:t>3.5</w:t>
            </w:r>
            <w:r w:rsidR="00524679">
              <w:rPr>
                <w:rFonts w:eastAsia="Times New Roman" w:cs="Arial"/>
                <w:b/>
                <w:bCs/>
                <w:sz w:val="20"/>
                <w:szCs w:val="20"/>
                <w:lang w:eastAsia="en-GB"/>
              </w:rPr>
              <w:t>.16</w:t>
            </w:r>
          </w:p>
        </w:tc>
        <w:tc>
          <w:tcPr>
            <w:tcW w:w="3921" w:type="dxa"/>
            <w:tcBorders>
              <w:top w:val="nil"/>
              <w:left w:val="nil"/>
              <w:bottom w:val="single" w:sz="4" w:space="0" w:color="auto"/>
              <w:right w:val="single" w:sz="4" w:space="0" w:color="auto"/>
            </w:tcBorders>
            <w:shd w:val="clear" w:color="000000" w:fill="FFFFFF"/>
            <w:hideMark/>
          </w:tcPr>
          <w:p w14:paraId="117E6140" w14:textId="77777777" w:rsidR="00431B9C" w:rsidRPr="00BB6003" w:rsidRDefault="00431B9C" w:rsidP="00F33AA4">
            <w:pPr>
              <w:autoSpaceDE/>
              <w:autoSpaceDN/>
              <w:adjustRightInd/>
              <w:spacing w:after="0"/>
              <w:jc w:val="left"/>
              <w:rPr>
                <w:rFonts w:eastAsia="Times New Roman" w:cs="Arial"/>
                <w:sz w:val="20"/>
                <w:szCs w:val="20"/>
                <w:lang w:eastAsia="en-GB"/>
              </w:rPr>
            </w:pPr>
            <w:r>
              <w:rPr>
                <w:rFonts w:cs="Arial"/>
                <w:sz w:val="20"/>
                <w:szCs w:val="20"/>
              </w:rPr>
              <w:t>SKILLS LEARNING &amp; DEVELOPMENT</w:t>
            </w:r>
          </w:p>
        </w:tc>
        <w:tc>
          <w:tcPr>
            <w:tcW w:w="1445" w:type="dxa"/>
            <w:tcBorders>
              <w:top w:val="nil"/>
              <w:left w:val="nil"/>
              <w:bottom w:val="single" w:sz="4" w:space="0" w:color="auto"/>
              <w:right w:val="single" w:sz="4" w:space="0" w:color="auto"/>
            </w:tcBorders>
            <w:shd w:val="clear" w:color="000000" w:fill="FFFFFF"/>
            <w:hideMark/>
          </w:tcPr>
          <w:p w14:paraId="38659357" w14:textId="77777777" w:rsidR="00431B9C" w:rsidRPr="00BB6003" w:rsidRDefault="00431B9C" w:rsidP="0049320F">
            <w:pPr>
              <w:autoSpaceDE/>
              <w:autoSpaceDN/>
              <w:adjustRightInd/>
              <w:spacing w:after="0"/>
              <w:rPr>
                <w:rFonts w:eastAsia="Times New Roman" w:cs="Arial"/>
                <w:sz w:val="20"/>
                <w:szCs w:val="20"/>
                <w:lang w:eastAsia="en-GB"/>
              </w:rPr>
            </w:pPr>
            <w:r>
              <w:rPr>
                <w:rFonts w:cs="Arial"/>
                <w:sz w:val="20"/>
                <w:szCs w:val="20"/>
              </w:rPr>
              <w:t xml:space="preserve">3.173 </w:t>
            </w:r>
          </w:p>
        </w:tc>
        <w:tc>
          <w:tcPr>
            <w:tcW w:w="1442" w:type="dxa"/>
            <w:tcBorders>
              <w:top w:val="nil"/>
              <w:left w:val="nil"/>
              <w:bottom w:val="single" w:sz="4" w:space="0" w:color="auto"/>
              <w:right w:val="single" w:sz="4" w:space="0" w:color="auto"/>
            </w:tcBorders>
            <w:shd w:val="clear" w:color="000000" w:fill="FFFFFF"/>
            <w:hideMark/>
          </w:tcPr>
          <w:p w14:paraId="2BD24833" w14:textId="77777777" w:rsidR="00431B9C" w:rsidRPr="00BB6003" w:rsidRDefault="00431B9C" w:rsidP="0049320F">
            <w:pPr>
              <w:autoSpaceDE/>
              <w:autoSpaceDN/>
              <w:adjustRightInd/>
              <w:spacing w:after="0"/>
              <w:rPr>
                <w:rFonts w:eastAsia="Times New Roman" w:cs="Arial"/>
                <w:sz w:val="20"/>
                <w:szCs w:val="20"/>
                <w:lang w:eastAsia="en-GB"/>
              </w:rPr>
            </w:pPr>
            <w:r>
              <w:rPr>
                <w:rFonts w:cs="Arial"/>
                <w:sz w:val="20"/>
                <w:szCs w:val="20"/>
              </w:rPr>
              <w:t xml:space="preserve">3.173 </w:t>
            </w:r>
          </w:p>
        </w:tc>
        <w:tc>
          <w:tcPr>
            <w:tcW w:w="1442" w:type="dxa"/>
            <w:tcBorders>
              <w:top w:val="nil"/>
              <w:left w:val="nil"/>
              <w:bottom w:val="single" w:sz="4" w:space="0" w:color="auto"/>
              <w:right w:val="single" w:sz="4" w:space="0" w:color="auto"/>
            </w:tcBorders>
            <w:shd w:val="clear" w:color="000000" w:fill="FFFFFF"/>
            <w:hideMark/>
          </w:tcPr>
          <w:p w14:paraId="3D288CF7" w14:textId="77777777" w:rsidR="00431B9C" w:rsidRPr="00BB6003" w:rsidRDefault="00431B9C" w:rsidP="0049320F">
            <w:pPr>
              <w:autoSpaceDE/>
              <w:autoSpaceDN/>
              <w:adjustRightInd/>
              <w:spacing w:after="0"/>
              <w:rPr>
                <w:rFonts w:eastAsia="Times New Roman" w:cs="Arial"/>
                <w:sz w:val="20"/>
                <w:szCs w:val="20"/>
                <w:lang w:eastAsia="en-GB"/>
              </w:rPr>
            </w:pPr>
            <w:r>
              <w:rPr>
                <w:rFonts w:cs="Arial"/>
                <w:sz w:val="20"/>
                <w:szCs w:val="20"/>
              </w:rPr>
              <w:t xml:space="preserve">0.000 </w:t>
            </w:r>
          </w:p>
        </w:tc>
      </w:tr>
      <w:tr w:rsidR="00431B9C" w:rsidRPr="00BB6003" w14:paraId="40DDB80E" w14:textId="77777777" w:rsidTr="00431B9C">
        <w:trPr>
          <w:trHeight w:val="522"/>
        </w:trPr>
        <w:tc>
          <w:tcPr>
            <w:tcW w:w="837" w:type="dxa"/>
            <w:tcBorders>
              <w:top w:val="nil"/>
              <w:left w:val="single" w:sz="4" w:space="0" w:color="auto"/>
              <w:bottom w:val="single" w:sz="4" w:space="0" w:color="auto"/>
              <w:right w:val="single" w:sz="4" w:space="0" w:color="auto"/>
            </w:tcBorders>
            <w:shd w:val="clear" w:color="000000" w:fill="D9D9D9"/>
            <w:vAlign w:val="center"/>
            <w:hideMark/>
          </w:tcPr>
          <w:p w14:paraId="4C7659BE" w14:textId="77777777" w:rsidR="00431B9C" w:rsidRPr="00BB6003" w:rsidRDefault="00431B9C" w:rsidP="0049320F">
            <w:pPr>
              <w:autoSpaceDE/>
              <w:autoSpaceDN/>
              <w:adjustRightInd/>
              <w:spacing w:after="0"/>
              <w:rPr>
                <w:rFonts w:eastAsia="Times New Roman" w:cs="Arial"/>
                <w:b/>
                <w:bCs/>
                <w:sz w:val="20"/>
                <w:szCs w:val="20"/>
                <w:lang w:eastAsia="en-GB"/>
              </w:rPr>
            </w:pPr>
            <w:r w:rsidRPr="00BB6003">
              <w:rPr>
                <w:rFonts w:eastAsia="Times New Roman" w:cs="Arial"/>
                <w:b/>
                <w:bCs/>
                <w:sz w:val="20"/>
                <w:szCs w:val="20"/>
                <w:lang w:eastAsia="en-GB"/>
              </w:rPr>
              <w:t> </w:t>
            </w:r>
          </w:p>
        </w:tc>
        <w:tc>
          <w:tcPr>
            <w:tcW w:w="3921" w:type="dxa"/>
            <w:tcBorders>
              <w:top w:val="nil"/>
              <w:left w:val="nil"/>
              <w:bottom w:val="single" w:sz="4" w:space="0" w:color="auto"/>
              <w:right w:val="single" w:sz="4" w:space="0" w:color="auto"/>
            </w:tcBorders>
            <w:shd w:val="clear" w:color="000000" w:fill="D9D9D9"/>
            <w:vAlign w:val="center"/>
            <w:hideMark/>
          </w:tcPr>
          <w:p w14:paraId="735DB6B2" w14:textId="77777777" w:rsidR="00431B9C" w:rsidRPr="00BB6003" w:rsidRDefault="00431B9C" w:rsidP="00F33AA4">
            <w:pPr>
              <w:autoSpaceDE/>
              <w:autoSpaceDN/>
              <w:adjustRightInd/>
              <w:spacing w:after="0"/>
              <w:jc w:val="left"/>
              <w:rPr>
                <w:rFonts w:eastAsia="Times New Roman" w:cs="Arial"/>
                <w:b/>
                <w:bCs/>
                <w:sz w:val="20"/>
                <w:szCs w:val="20"/>
                <w:lang w:eastAsia="en-GB"/>
              </w:rPr>
            </w:pPr>
            <w:r>
              <w:rPr>
                <w:rFonts w:cs="Arial"/>
                <w:b/>
                <w:bCs/>
                <w:sz w:val="20"/>
                <w:szCs w:val="20"/>
              </w:rPr>
              <w:t>TOTAL - DEVELOPMENT AND CORPORATE</w:t>
            </w:r>
          </w:p>
        </w:tc>
        <w:tc>
          <w:tcPr>
            <w:tcW w:w="1445" w:type="dxa"/>
            <w:tcBorders>
              <w:top w:val="nil"/>
              <w:left w:val="nil"/>
              <w:bottom w:val="single" w:sz="4" w:space="0" w:color="auto"/>
              <w:right w:val="single" w:sz="4" w:space="0" w:color="auto"/>
            </w:tcBorders>
            <w:shd w:val="clear" w:color="000000" w:fill="D9D9D9"/>
            <w:vAlign w:val="center"/>
            <w:hideMark/>
          </w:tcPr>
          <w:p w14:paraId="6D36C159" w14:textId="21B4CEC4" w:rsidR="00431B9C" w:rsidRPr="00BB6003" w:rsidRDefault="00BC6E80" w:rsidP="0049320F">
            <w:pPr>
              <w:autoSpaceDE/>
              <w:autoSpaceDN/>
              <w:adjustRightInd/>
              <w:spacing w:after="0"/>
              <w:rPr>
                <w:rFonts w:eastAsia="Times New Roman" w:cs="Arial"/>
                <w:b/>
                <w:bCs/>
                <w:sz w:val="20"/>
                <w:szCs w:val="20"/>
                <w:lang w:eastAsia="en-GB"/>
              </w:rPr>
            </w:pPr>
            <w:r>
              <w:rPr>
                <w:rFonts w:cs="Arial"/>
                <w:b/>
                <w:bCs/>
                <w:sz w:val="20"/>
                <w:szCs w:val="20"/>
              </w:rPr>
              <w:t>40.</w:t>
            </w:r>
            <w:r w:rsidR="00524679">
              <w:rPr>
                <w:rFonts w:cs="Arial"/>
                <w:b/>
                <w:bCs/>
                <w:sz w:val="20"/>
                <w:szCs w:val="20"/>
              </w:rPr>
              <w:t>147</w:t>
            </w:r>
            <w:r w:rsidR="00431B9C">
              <w:rPr>
                <w:rFonts w:cs="Arial"/>
                <w:b/>
                <w:bCs/>
                <w:sz w:val="20"/>
                <w:szCs w:val="20"/>
              </w:rPr>
              <w:t xml:space="preserve"> </w:t>
            </w:r>
          </w:p>
        </w:tc>
        <w:tc>
          <w:tcPr>
            <w:tcW w:w="1442" w:type="dxa"/>
            <w:tcBorders>
              <w:top w:val="nil"/>
              <w:left w:val="nil"/>
              <w:bottom w:val="single" w:sz="4" w:space="0" w:color="auto"/>
              <w:right w:val="single" w:sz="4" w:space="0" w:color="auto"/>
            </w:tcBorders>
            <w:shd w:val="clear" w:color="000000" w:fill="D9D9D9"/>
            <w:vAlign w:val="center"/>
            <w:hideMark/>
          </w:tcPr>
          <w:p w14:paraId="68A468BE" w14:textId="5F9CB08F" w:rsidR="00431B9C" w:rsidRPr="00BB6003" w:rsidRDefault="00C95E08" w:rsidP="0049320F">
            <w:pPr>
              <w:autoSpaceDE/>
              <w:autoSpaceDN/>
              <w:adjustRightInd/>
              <w:spacing w:after="0"/>
              <w:rPr>
                <w:rFonts w:eastAsia="Times New Roman" w:cs="Arial"/>
                <w:b/>
                <w:bCs/>
                <w:sz w:val="20"/>
                <w:szCs w:val="20"/>
                <w:lang w:eastAsia="en-GB"/>
              </w:rPr>
            </w:pPr>
            <w:r>
              <w:rPr>
                <w:rFonts w:cs="Arial"/>
                <w:b/>
                <w:bCs/>
                <w:sz w:val="20"/>
                <w:szCs w:val="20"/>
              </w:rPr>
              <w:t>4</w:t>
            </w:r>
            <w:r w:rsidR="00524679">
              <w:rPr>
                <w:rFonts w:cs="Arial"/>
                <w:b/>
                <w:bCs/>
                <w:sz w:val="20"/>
                <w:szCs w:val="20"/>
              </w:rPr>
              <w:t>0.230</w:t>
            </w:r>
            <w:r w:rsidR="00431B9C">
              <w:rPr>
                <w:rFonts w:cs="Arial"/>
                <w:b/>
                <w:bCs/>
                <w:sz w:val="20"/>
                <w:szCs w:val="20"/>
              </w:rPr>
              <w:t xml:space="preserve"> </w:t>
            </w:r>
          </w:p>
        </w:tc>
        <w:tc>
          <w:tcPr>
            <w:tcW w:w="1442" w:type="dxa"/>
            <w:tcBorders>
              <w:top w:val="nil"/>
              <w:left w:val="nil"/>
              <w:bottom w:val="single" w:sz="4" w:space="0" w:color="auto"/>
              <w:right w:val="single" w:sz="4" w:space="0" w:color="auto"/>
            </w:tcBorders>
            <w:shd w:val="clear" w:color="000000" w:fill="D9D9D9"/>
            <w:vAlign w:val="center"/>
            <w:hideMark/>
          </w:tcPr>
          <w:p w14:paraId="06533325" w14:textId="29759C9C" w:rsidR="00431B9C" w:rsidRPr="00BB6003" w:rsidRDefault="00431B9C" w:rsidP="0049320F">
            <w:pPr>
              <w:autoSpaceDE/>
              <w:autoSpaceDN/>
              <w:adjustRightInd/>
              <w:spacing w:after="0"/>
              <w:rPr>
                <w:rFonts w:eastAsia="Times New Roman" w:cs="Arial"/>
                <w:b/>
                <w:bCs/>
                <w:sz w:val="20"/>
                <w:szCs w:val="20"/>
                <w:lang w:eastAsia="en-GB"/>
              </w:rPr>
            </w:pPr>
            <w:r>
              <w:rPr>
                <w:rFonts w:cs="Arial"/>
                <w:b/>
                <w:bCs/>
                <w:sz w:val="20"/>
                <w:szCs w:val="20"/>
              </w:rPr>
              <w:t xml:space="preserve"> </w:t>
            </w:r>
            <w:r w:rsidR="00132061">
              <w:rPr>
                <w:rFonts w:cs="Arial"/>
                <w:b/>
                <w:bCs/>
                <w:sz w:val="20"/>
                <w:szCs w:val="20"/>
              </w:rPr>
              <w:t>0.</w:t>
            </w:r>
            <w:r w:rsidR="00C95E08">
              <w:rPr>
                <w:rFonts w:cs="Arial"/>
                <w:b/>
                <w:bCs/>
                <w:sz w:val="20"/>
                <w:szCs w:val="20"/>
              </w:rPr>
              <w:t>083</w:t>
            </w:r>
          </w:p>
        </w:tc>
      </w:tr>
    </w:tbl>
    <w:p w14:paraId="14EAD1F9" w14:textId="77777777" w:rsidR="00431B9C" w:rsidRDefault="00431B9C" w:rsidP="0049320F">
      <w:pPr>
        <w:tabs>
          <w:tab w:val="left" w:pos="851"/>
          <w:tab w:val="left" w:pos="1418"/>
        </w:tabs>
        <w:spacing w:after="0"/>
        <w:rPr>
          <w:rFonts w:cs="Arial"/>
        </w:rPr>
      </w:pPr>
    </w:p>
    <w:p w14:paraId="6E40B70B" w14:textId="31327A80" w:rsidR="00431B9C" w:rsidRPr="00161FFE" w:rsidRDefault="00431B9C" w:rsidP="0049320F">
      <w:pPr>
        <w:tabs>
          <w:tab w:val="left" w:pos="851"/>
          <w:tab w:val="left" w:pos="1418"/>
        </w:tabs>
        <w:spacing w:after="0"/>
        <w:rPr>
          <w:rFonts w:cs="Arial"/>
        </w:rPr>
      </w:pPr>
      <w:r w:rsidRPr="00161FFE">
        <w:rPr>
          <w:rFonts w:cs="Arial"/>
        </w:rPr>
        <w:t>The total net approved budget for Development and Corporat</w:t>
      </w:r>
      <w:r w:rsidR="008C24AC" w:rsidRPr="00161FFE">
        <w:rPr>
          <w:rFonts w:cs="Arial"/>
        </w:rPr>
        <w:t>e Services in</w:t>
      </w:r>
      <w:r w:rsidR="008F3D84" w:rsidRPr="00161FFE">
        <w:rPr>
          <w:rFonts w:cs="Arial"/>
        </w:rPr>
        <w:t xml:space="preserve"> 2016/17 is £</w:t>
      </w:r>
      <w:r w:rsidR="0003095D" w:rsidRPr="00161FFE">
        <w:rPr>
          <w:rFonts w:cs="Arial"/>
        </w:rPr>
        <w:t>40.147</w:t>
      </w:r>
      <w:r w:rsidRPr="00161FFE">
        <w:rPr>
          <w:rFonts w:cs="Arial"/>
        </w:rPr>
        <w:t>m.  As at the end of quarter 1 the service</w:t>
      </w:r>
      <w:r w:rsidR="00D32EEA" w:rsidRPr="00161FFE">
        <w:rPr>
          <w:rFonts w:cs="Arial"/>
        </w:rPr>
        <w:t xml:space="preserve"> is forecast to </w:t>
      </w:r>
      <w:r w:rsidR="008F3D84" w:rsidRPr="00161FFE">
        <w:rPr>
          <w:rFonts w:cs="Arial"/>
        </w:rPr>
        <w:t>overspend by £0.083</w:t>
      </w:r>
      <w:r w:rsidR="00D32EEA" w:rsidRPr="00161FFE">
        <w:rPr>
          <w:rFonts w:cs="Arial"/>
        </w:rPr>
        <w:t>m</w:t>
      </w:r>
      <w:r w:rsidRPr="00161FFE">
        <w:rPr>
          <w:rFonts w:cs="Arial"/>
        </w:rPr>
        <w:t>.</w:t>
      </w:r>
      <w:r w:rsidRPr="00161FFE">
        <w:rPr>
          <w:rFonts w:cs="Arial"/>
          <w:bCs/>
        </w:rPr>
        <w:t>The forecast includes the planned application of non-recurrent funding of £0.030m from the Lancashire Adult Learning Reserve to cover the cost of back dated pay awards for lecturer staff.</w:t>
      </w:r>
      <w:r w:rsidR="00132061" w:rsidRPr="00161FFE">
        <w:rPr>
          <w:rFonts w:cs="Arial"/>
          <w:bCs/>
        </w:rPr>
        <w:t xml:space="preserve"> This is not listed separately below as there is no variance for that service. </w:t>
      </w:r>
    </w:p>
    <w:p w14:paraId="76382E16" w14:textId="77777777" w:rsidR="00431B9C" w:rsidRPr="00161FFE" w:rsidRDefault="00431B9C" w:rsidP="0049320F">
      <w:pPr>
        <w:tabs>
          <w:tab w:val="left" w:pos="851"/>
          <w:tab w:val="left" w:pos="1418"/>
        </w:tabs>
        <w:spacing w:after="0"/>
        <w:rPr>
          <w:rFonts w:cs="Arial"/>
          <w:bCs/>
        </w:rPr>
      </w:pPr>
    </w:p>
    <w:p w14:paraId="644CEB44" w14:textId="0546E175" w:rsidR="00431B9C" w:rsidRPr="00161FFE" w:rsidRDefault="00622590" w:rsidP="0049320F">
      <w:pPr>
        <w:autoSpaceDE/>
        <w:autoSpaceDN/>
        <w:adjustRightInd/>
        <w:spacing w:after="0"/>
        <w:rPr>
          <w:rFonts w:cs="Arial"/>
          <w:b/>
          <w:bCs/>
        </w:rPr>
      </w:pPr>
      <w:r w:rsidRPr="00161FFE">
        <w:rPr>
          <w:rFonts w:cs="Arial"/>
          <w:b/>
          <w:bCs/>
        </w:rPr>
        <w:t>3.5.4</w:t>
      </w:r>
      <w:r w:rsidR="00431B9C" w:rsidRPr="00161FFE">
        <w:rPr>
          <w:rFonts w:cs="Arial"/>
          <w:b/>
          <w:bCs/>
        </w:rPr>
        <w:t xml:space="preserve"> Core Business Systems/Transformation</w:t>
      </w:r>
    </w:p>
    <w:p w14:paraId="75EA717B" w14:textId="77777777" w:rsidR="00431B9C" w:rsidRPr="00161FFE" w:rsidRDefault="00431B9C" w:rsidP="0049320F">
      <w:pPr>
        <w:spacing w:after="0"/>
        <w:contextualSpacing/>
        <w:rPr>
          <w:rFonts w:cs="Arial"/>
        </w:rPr>
      </w:pPr>
    </w:p>
    <w:p w14:paraId="7EC54071" w14:textId="7AE5AFEA" w:rsidR="00431B9C" w:rsidRPr="00161FFE" w:rsidRDefault="00431B9C" w:rsidP="0049320F">
      <w:pPr>
        <w:spacing w:after="0"/>
        <w:contextualSpacing/>
        <w:rPr>
          <w:rFonts w:cs="Arial"/>
        </w:rPr>
      </w:pPr>
      <w:r w:rsidRPr="00161FFE">
        <w:rPr>
          <w:rFonts w:cs="Arial"/>
        </w:rPr>
        <w:t xml:space="preserve">Core Business System Transformation is </w:t>
      </w:r>
      <w:r w:rsidR="00C95E08" w:rsidRPr="00161FFE">
        <w:rPr>
          <w:rFonts w:cs="Arial"/>
        </w:rPr>
        <w:t>forecast to underspend by £0.039</w:t>
      </w:r>
      <w:r w:rsidR="00CB3546" w:rsidRPr="00161FFE">
        <w:rPr>
          <w:rFonts w:cs="Arial"/>
        </w:rPr>
        <w:t xml:space="preserve">m in 2016/17. </w:t>
      </w:r>
      <w:r w:rsidR="009A6734" w:rsidRPr="00161FFE">
        <w:rPr>
          <w:rFonts w:cs="Arial"/>
        </w:rPr>
        <w:t>This forecast incorporates approved budget redu</w:t>
      </w:r>
      <w:r w:rsidR="00D33F64" w:rsidRPr="00161FFE">
        <w:rPr>
          <w:rFonts w:cs="Arial"/>
        </w:rPr>
        <w:t>ctions of £0.817m with £0.175m originally a</w:t>
      </w:r>
      <w:r w:rsidR="009A6734" w:rsidRPr="00161FFE">
        <w:rPr>
          <w:rFonts w:cs="Arial"/>
        </w:rPr>
        <w:t>pproved to be funded from the transitional reserve in</w:t>
      </w:r>
      <w:r w:rsidR="00D33F64" w:rsidRPr="00161FFE">
        <w:rPr>
          <w:rFonts w:cs="Arial"/>
        </w:rPr>
        <w:t xml:space="preserve"> </w:t>
      </w:r>
      <w:r w:rsidR="009A6734" w:rsidRPr="00161FFE">
        <w:rPr>
          <w:rFonts w:cs="Arial"/>
        </w:rPr>
        <w:t>2016/17</w:t>
      </w:r>
      <w:r w:rsidR="00D33F64" w:rsidRPr="00161FFE">
        <w:rPr>
          <w:rFonts w:cs="Arial"/>
        </w:rPr>
        <w:t>, however due to early delivery of savings this is no longer required.</w:t>
      </w:r>
      <w:r w:rsidR="009A6734" w:rsidRPr="00161FFE">
        <w:rPr>
          <w:rFonts w:cs="Arial"/>
        </w:rPr>
        <w:t xml:space="preserve"> </w:t>
      </w:r>
    </w:p>
    <w:p w14:paraId="70462AE8" w14:textId="77777777" w:rsidR="00431B9C" w:rsidRPr="00161FFE" w:rsidRDefault="00431B9C" w:rsidP="0049320F">
      <w:pPr>
        <w:tabs>
          <w:tab w:val="left" w:pos="851"/>
          <w:tab w:val="left" w:pos="1418"/>
        </w:tabs>
        <w:spacing w:after="0"/>
        <w:rPr>
          <w:rFonts w:cs="Arial"/>
        </w:rPr>
      </w:pPr>
    </w:p>
    <w:p w14:paraId="4EE8E9DC" w14:textId="4AA4FBFE" w:rsidR="00431B9C" w:rsidRPr="00161FFE" w:rsidRDefault="00622590" w:rsidP="0049320F">
      <w:pPr>
        <w:tabs>
          <w:tab w:val="left" w:pos="851"/>
          <w:tab w:val="left" w:pos="1418"/>
        </w:tabs>
        <w:spacing w:after="0"/>
        <w:rPr>
          <w:rFonts w:cs="Arial"/>
          <w:b/>
        </w:rPr>
      </w:pPr>
      <w:r w:rsidRPr="00161FFE">
        <w:rPr>
          <w:rFonts w:cs="Arial"/>
          <w:b/>
        </w:rPr>
        <w:t>3.5</w:t>
      </w:r>
      <w:r w:rsidR="00431B9C" w:rsidRPr="00161FFE">
        <w:rPr>
          <w:rFonts w:cs="Arial"/>
          <w:b/>
        </w:rPr>
        <w:t>.5</w:t>
      </w:r>
      <w:r w:rsidR="00431B9C" w:rsidRPr="00161FFE">
        <w:rPr>
          <w:rFonts w:cs="Arial"/>
          <w:b/>
        </w:rPr>
        <w:tab/>
        <w:t>Facilities Management</w:t>
      </w:r>
    </w:p>
    <w:p w14:paraId="0424D500" w14:textId="77777777" w:rsidR="004C0654" w:rsidRPr="00161FFE" w:rsidRDefault="004C0654" w:rsidP="0049320F">
      <w:pPr>
        <w:tabs>
          <w:tab w:val="left" w:pos="851"/>
          <w:tab w:val="left" w:pos="1418"/>
        </w:tabs>
        <w:spacing w:after="0"/>
        <w:rPr>
          <w:rFonts w:cs="Arial"/>
          <w:b/>
        </w:rPr>
      </w:pPr>
    </w:p>
    <w:p w14:paraId="140C0EC9" w14:textId="6A8D42F8" w:rsidR="004C0654" w:rsidRPr="00161FFE" w:rsidRDefault="004C0654" w:rsidP="0049320F">
      <w:pPr>
        <w:tabs>
          <w:tab w:val="left" w:pos="851"/>
          <w:tab w:val="left" w:pos="1418"/>
        </w:tabs>
        <w:spacing w:after="0"/>
        <w:rPr>
          <w:rFonts w:cs="Arial"/>
        </w:rPr>
      </w:pPr>
      <w:r w:rsidRPr="00161FFE">
        <w:rPr>
          <w:rFonts w:cs="Arial"/>
        </w:rPr>
        <w:t xml:space="preserve">The service are reporting </w:t>
      </w:r>
      <w:proofErr w:type="gramStart"/>
      <w:r w:rsidRPr="00161FFE">
        <w:rPr>
          <w:rFonts w:cs="Arial"/>
        </w:rPr>
        <w:t>an overspend</w:t>
      </w:r>
      <w:proofErr w:type="gramEnd"/>
      <w:r w:rsidRPr="00161FFE">
        <w:rPr>
          <w:rFonts w:cs="Arial"/>
        </w:rPr>
        <w:t xml:space="preserve"> of £0.591m. </w:t>
      </w:r>
    </w:p>
    <w:p w14:paraId="42DD1C6C" w14:textId="77777777" w:rsidR="004C0654" w:rsidRPr="00161FFE" w:rsidRDefault="004C0654" w:rsidP="0049320F">
      <w:pPr>
        <w:tabs>
          <w:tab w:val="left" w:pos="851"/>
          <w:tab w:val="left" w:pos="1418"/>
        </w:tabs>
        <w:spacing w:after="0"/>
        <w:rPr>
          <w:rFonts w:cs="Arial"/>
        </w:rPr>
      </w:pPr>
    </w:p>
    <w:p w14:paraId="3E6E3D4D" w14:textId="2F341783" w:rsidR="009506DF" w:rsidRPr="00161FFE" w:rsidRDefault="00F37D47" w:rsidP="0049320F">
      <w:pPr>
        <w:pStyle w:val="ListParagraph"/>
        <w:numPr>
          <w:ilvl w:val="0"/>
          <w:numId w:val="41"/>
        </w:numPr>
        <w:tabs>
          <w:tab w:val="left" w:pos="851"/>
          <w:tab w:val="left" w:pos="1418"/>
        </w:tabs>
        <w:spacing w:after="0"/>
        <w:rPr>
          <w:rFonts w:cs="Arial"/>
        </w:rPr>
      </w:pPr>
      <w:r w:rsidRPr="00161FFE">
        <w:rPr>
          <w:rFonts w:cs="Arial"/>
        </w:rPr>
        <w:t>An overspend of £0.290</w:t>
      </w:r>
      <w:r w:rsidR="009506DF" w:rsidRPr="00161FFE">
        <w:rPr>
          <w:rFonts w:cs="Arial"/>
        </w:rPr>
        <w:t xml:space="preserve">m relates to delays in delivering savings as a result of the impact of the property strategy and a number of properties transferred to Facilities Management for which there is insufficient budget. </w:t>
      </w:r>
    </w:p>
    <w:p w14:paraId="6ADFFF66" w14:textId="0218A7B6" w:rsidR="009506DF" w:rsidRPr="00161FFE" w:rsidRDefault="009506DF" w:rsidP="0049320F">
      <w:pPr>
        <w:pStyle w:val="ListParagraph"/>
        <w:numPr>
          <w:ilvl w:val="0"/>
          <w:numId w:val="41"/>
        </w:numPr>
        <w:tabs>
          <w:tab w:val="left" w:pos="851"/>
          <w:tab w:val="left" w:pos="1418"/>
        </w:tabs>
        <w:spacing w:after="0"/>
        <w:rPr>
          <w:rFonts w:cs="Arial"/>
        </w:rPr>
      </w:pPr>
      <w:r w:rsidRPr="00161FFE">
        <w:rPr>
          <w:rFonts w:cs="Arial"/>
        </w:rPr>
        <w:lastRenderedPageBreak/>
        <w:t>Overspends of £0.224m re</w:t>
      </w:r>
      <w:r w:rsidR="00EE64A0" w:rsidRPr="00161FFE">
        <w:rPr>
          <w:rFonts w:cs="Arial"/>
        </w:rPr>
        <w:t>l</w:t>
      </w:r>
      <w:r w:rsidRPr="00161FFE">
        <w:rPr>
          <w:rFonts w:cs="Arial"/>
        </w:rPr>
        <w:t>ate to Staff and Civic Catering which are largely due to partial non-delivery of 2015-16 savings on Woodlands and non-delivery of 201</w:t>
      </w:r>
      <w:r w:rsidR="00CB3546" w:rsidRPr="00161FFE">
        <w:rPr>
          <w:rFonts w:cs="Arial"/>
        </w:rPr>
        <w:t>5/16 and 2016/17 savings for</w:t>
      </w:r>
      <w:r w:rsidRPr="00161FFE">
        <w:rPr>
          <w:rFonts w:cs="Arial"/>
        </w:rPr>
        <w:t xml:space="preserve"> Reflections.  </w:t>
      </w:r>
      <w:r w:rsidR="00CB3546" w:rsidRPr="00161FFE">
        <w:rPr>
          <w:rFonts w:cs="Arial"/>
        </w:rPr>
        <w:t>The f</w:t>
      </w:r>
      <w:r w:rsidRPr="00161FFE">
        <w:rPr>
          <w:rFonts w:cs="Arial"/>
        </w:rPr>
        <w:t>inancial position of both Woodlands and Reflections will need to be considered as part of the combined conferencing and catering service at County Hall once Woodlands closes.</w:t>
      </w:r>
    </w:p>
    <w:p w14:paraId="4D6E740E" w14:textId="77777777" w:rsidR="009506DF" w:rsidRPr="00161FFE" w:rsidRDefault="009506DF" w:rsidP="0049320F">
      <w:pPr>
        <w:pStyle w:val="ListParagraph"/>
        <w:numPr>
          <w:ilvl w:val="0"/>
          <w:numId w:val="41"/>
        </w:numPr>
        <w:tabs>
          <w:tab w:val="left" w:pos="851"/>
          <w:tab w:val="left" w:pos="1418"/>
        </w:tabs>
        <w:spacing w:after="0"/>
        <w:rPr>
          <w:rFonts w:cs="Arial"/>
        </w:rPr>
      </w:pPr>
      <w:r w:rsidRPr="00161FFE">
        <w:rPr>
          <w:rFonts w:cs="Arial"/>
        </w:rPr>
        <w:t>Overspends of £0.077m relate to the non-delivery of service offer savings and changes to the opening hours of County Hall which will not now go ahead.</w:t>
      </w:r>
    </w:p>
    <w:p w14:paraId="3411C281" w14:textId="77777777" w:rsidR="009506DF" w:rsidRPr="00161FFE" w:rsidRDefault="009506DF" w:rsidP="0049320F">
      <w:pPr>
        <w:tabs>
          <w:tab w:val="left" w:pos="851"/>
          <w:tab w:val="left" w:pos="1418"/>
        </w:tabs>
        <w:spacing w:after="0"/>
        <w:rPr>
          <w:rFonts w:cs="Arial"/>
        </w:rPr>
      </w:pPr>
    </w:p>
    <w:p w14:paraId="37982B42" w14:textId="508412DF" w:rsidR="004C0654" w:rsidRPr="00161FFE" w:rsidRDefault="004C0654" w:rsidP="0049320F">
      <w:pPr>
        <w:tabs>
          <w:tab w:val="left" w:pos="851"/>
          <w:tab w:val="left" w:pos="1418"/>
        </w:tabs>
        <w:spacing w:after="0"/>
        <w:rPr>
          <w:rFonts w:cs="Arial"/>
        </w:rPr>
      </w:pPr>
      <w:r w:rsidRPr="00161FFE">
        <w:rPr>
          <w:rFonts w:cs="Arial"/>
        </w:rPr>
        <w:t xml:space="preserve">The forecast includes approved savings of £0.286m. </w:t>
      </w:r>
    </w:p>
    <w:p w14:paraId="58608632" w14:textId="77777777" w:rsidR="00431B9C" w:rsidRPr="00161FFE" w:rsidRDefault="00431B9C" w:rsidP="0049320F">
      <w:pPr>
        <w:tabs>
          <w:tab w:val="left" w:pos="851"/>
          <w:tab w:val="left" w:pos="1418"/>
        </w:tabs>
        <w:spacing w:after="0"/>
        <w:rPr>
          <w:rFonts w:cs="Arial"/>
          <w:b/>
        </w:rPr>
      </w:pPr>
    </w:p>
    <w:p w14:paraId="0A090DE0" w14:textId="38F08189" w:rsidR="00431B9C" w:rsidRPr="00161FFE" w:rsidRDefault="00622590" w:rsidP="0049320F">
      <w:pPr>
        <w:tabs>
          <w:tab w:val="left" w:pos="851"/>
          <w:tab w:val="left" w:pos="1418"/>
        </w:tabs>
        <w:spacing w:after="0"/>
        <w:rPr>
          <w:rFonts w:cs="Arial"/>
          <w:b/>
          <w:bCs/>
        </w:rPr>
      </w:pPr>
      <w:r w:rsidRPr="00161FFE">
        <w:rPr>
          <w:rFonts w:cs="Arial"/>
          <w:b/>
          <w:bCs/>
        </w:rPr>
        <w:t>3.5</w:t>
      </w:r>
      <w:r w:rsidR="00431B9C" w:rsidRPr="00161FFE">
        <w:rPr>
          <w:rFonts w:cs="Arial"/>
          <w:b/>
          <w:bCs/>
        </w:rPr>
        <w:t>.6</w:t>
      </w:r>
      <w:r w:rsidR="00431B9C" w:rsidRPr="00161FFE">
        <w:rPr>
          <w:rFonts w:cs="Arial"/>
          <w:b/>
          <w:bCs/>
        </w:rPr>
        <w:tab/>
        <w:t>Human Resources</w:t>
      </w:r>
    </w:p>
    <w:p w14:paraId="1865F875" w14:textId="77777777" w:rsidR="00431B9C" w:rsidRPr="00161FFE" w:rsidRDefault="00431B9C" w:rsidP="0049320F">
      <w:pPr>
        <w:tabs>
          <w:tab w:val="left" w:pos="851"/>
          <w:tab w:val="left" w:pos="1418"/>
        </w:tabs>
        <w:spacing w:after="0"/>
        <w:rPr>
          <w:rFonts w:cs="Arial"/>
        </w:rPr>
      </w:pPr>
    </w:p>
    <w:p w14:paraId="1AF96F2E" w14:textId="3AFF5C76" w:rsidR="00431B9C" w:rsidRPr="00161FFE" w:rsidRDefault="00431B9C" w:rsidP="0049320F">
      <w:pPr>
        <w:tabs>
          <w:tab w:val="left" w:pos="851"/>
          <w:tab w:val="left" w:pos="1418"/>
        </w:tabs>
        <w:spacing w:after="0"/>
        <w:rPr>
          <w:rFonts w:cs="Arial"/>
        </w:rPr>
      </w:pPr>
      <w:r w:rsidRPr="00161FFE">
        <w:rPr>
          <w:rFonts w:cs="Arial"/>
        </w:rPr>
        <w:t>No variance from budget is forecast for Human Resources in 2016/17.</w:t>
      </w:r>
      <w:r w:rsidR="004C0654" w:rsidRPr="00161FFE">
        <w:rPr>
          <w:rFonts w:cs="Arial"/>
        </w:rPr>
        <w:t xml:space="preserve"> This forecast includes a budget reduction of £0.064m, however this is fully funded from the transitional reserve in 2016/17. Initially £0.146m was approved to be funded from reserves however this is no longer required due to early delivery of savings. </w:t>
      </w:r>
    </w:p>
    <w:p w14:paraId="6E2B06E8" w14:textId="77777777" w:rsidR="00431B9C" w:rsidRPr="00161FFE" w:rsidRDefault="00431B9C" w:rsidP="0049320F">
      <w:pPr>
        <w:tabs>
          <w:tab w:val="left" w:pos="851"/>
          <w:tab w:val="left" w:pos="1418"/>
        </w:tabs>
        <w:spacing w:after="0"/>
        <w:rPr>
          <w:rFonts w:cs="Arial"/>
        </w:rPr>
      </w:pPr>
    </w:p>
    <w:p w14:paraId="345E3755" w14:textId="245924C1" w:rsidR="006D0B6F" w:rsidRPr="00161FFE" w:rsidRDefault="006D0B6F" w:rsidP="0049320F">
      <w:pPr>
        <w:tabs>
          <w:tab w:val="left" w:pos="851"/>
          <w:tab w:val="left" w:pos="1418"/>
        </w:tabs>
        <w:spacing w:after="0"/>
        <w:rPr>
          <w:rFonts w:cs="Arial"/>
          <w:color w:val="auto"/>
        </w:rPr>
      </w:pPr>
      <w:r w:rsidRPr="00161FFE">
        <w:rPr>
          <w:rFonts w:cs="Arial"/>
          <w:color w:val="auto"/>
        </w:rPr>
        <w:t xml:space="preserve">This forecast also includes a saving of £0.211m in relation to the Transformation Team however this is offset by non-recurrent reserve funding of £0.211m </w:t>
      </w:r>
      <w:r w:rsidR="00CB3546" w:rsidRPr="00161FFE">
        <w:rPr>
          <w:rFonts w:cs="Arial"/>
          <w:color w:val="auto"/>
        </w:rPr>
        <w:t>to</w:t>
      </w:r>
      <w:r w:rsidR="00A54E39" w:rsidRPr="00161FFE">
        <w:rPr>
          <w:rFonts w:cs="Arial"/>
          <w:color w:val="auto"/>
        </w:rPr>
        <w:t xml:space="preserve"> </w:t>
      </w:r>
      <w:r w:rsidRPr="00161FFE">
        <w:rPr>
          <w:rFonts w:cs="Arial"/>
          <w:color w:val="auto"/>
        </w:rPr>
        <w:t xml:space="preserve">continue to support the staffing off this service during 2016/17. </w:t>
      </w:r>
    </w:p>
    <w:p w14:paraId="4FBEB11B" w14:textId="77777777" w:rsidR="00431B9C" w:rsidRPr="00161FFE" w:rsidRDefault="00431B9C" w:rsidP="0049320F">
      <w:pPr>
        <w:tabs>
          <w:tab w:val="left" w:pos="851"/>
          <w:tab w:val="left" w:pos="1418"/>
        </w:tabs>
        <w:spacing w:after="0"/>
        <w:rPr>
          <w:rFonts w:cs="Arial"/>
        </w:rPr>
      </w:pPr>
    </w:p>
    <w:p w14:paraId="619D3E8F" w14:textId="6D49BD84" w:rsidR="00431B9C" w:rsidRPr="00161FFE" w:rsidRDefault="00622590" w:rsidP="0049320F">
      <w:pPr>
        <w:tabs>
          <w:tab w:val="left" w:pos="851"/>
          <w:tab w:val="left" w:pos="1418"/>
        </w:tabs>
        <w:spacing w:after="0"/>
        <w:rPr>
          <w:rFonts w:cs="Arial"/>
        </w:rPr>
      </w:pPr>
      <w:r w:rsidRPr="00161FFE">
        <w:rPr>
          <w:rFonts w:cs="Arial"/>
          <w:b/>
        </w:rPr>
        <w:t>3.5</w:t>
      </w:r>
      <w:r w:rsidR="00431B9C" w:rsidRPr="00161FFE">
        <w:rPr>
          <w:rFonts w:cs="Arial"/>
          <w:b/>
        </w:rPr>
        <w:t>.7     Economic Development</w:t>
      </w:r>
    </w:p>
    <w:p w14:paraId="2108B916" w14:textId="77777777" w:rsidR="00431B9C" w:rsidRPr="00161FFE" w:rsidRDefault="00431B9C" w:rsidP="0049320F">
      <w:pPr>
        <w:autoSpaceDE/>
        <w:autoSpaceDN/>
        <w:adjustRightInd/>
        <w:spacing w:after="0"/>
        <w:rPr>
          <w:rFonts w:cs="Arial"/>
          <w:b/>
          <w:bCs/>
        </w:rPr>
      </w:pPr>
    </w:p>
    <w:p w14:paraId="5116B5A1" w14:textId="116EB949" w:rsidR="004C0654" w:rsidRPr="00161FFE" w:rsidRDefault="004C0654" w:rsidP="0049320F">
      <w:pPr>
        <w:autoSpaceDE/>
        <w:autoSpaceDN/>
        <w:adjustRightInd/>
        <w:spacing w:after="0"/>
        <w:rPr>
          <w:rFonts w:cs="Arial"/>
          <w:bCs/>
        </w:rPr>
      </w:pPr>
      <w:r w:rsidRPr="00161FFE">
        <w:rPr>
          <w:rFonts w:cs="Arial"/>
          <w:bCs/>
        </w:rPr>
        <w:t>This service is forecast to break-even in 2016/17. This incorporates a saving of £0.650m that was approved, however it was also approved that this would be offset by funding from the transitional reserve of £0.650</w:t>
      </w:r>
      <w:r w:rsidR="00D33F64" w:rsidRPr="00161FFE">
        <w:rPr>
          <w:rFonts w:cs="Arial"/>
          <w:bCs/>
        </w:rPr>
        <w:t>m</w:t>
      </w:r>
      <w:r w:rsidRPr="00161FFE">
        <w:rPr>
          <w:rFonts w:cs="Arial"/>
          <w:bCs/>
        </w:rPr>
        <w:t xml:space="preserve"> in 2016/17.  </w:t>
      </w:r>
    </w:p>
    <w:p w14:paraId="2189248E" w14:textId="77777777" w:rsidR="004C0654" w:rsidRPr="00161FFE" w:rsidRDefault="004C0654" w:rsidP="0049320F">
      <w:pPr>
        <w:tabs>
          <w:tab w:val="left" w:pos="851"/>
          <w:tab w:val="left" w:pos="1418"/>
        </w:tabs>
        <w:spacing w:after="0"/>
        <w:rPr>
          <w:rFonts w:cs="Arial"/>
          <w:bCs/>
        </w:rPr>
      </w:pPr>
    </w:p>
    <w:p w14:paraId="5B472913" w14:textId="77777777" w:rsidR="00655E9C" w:rsidRPr="00161FFE" w:rsidRDefault="00655E9C" w:rsidP="0049320F">
      <w:pPr>
        <w:tabs>
          <w:tab w:val="left" w:pos="851"/>
          <w:tab w:val="left" w:pos="1418"/>
        </w:tabs>
        <w:spacing w:after="0"/>
        <w:rPr>
          <w:rFonts w:cs="Arial"/>
          <w:bCs/>
        </w:rPr>
      </w:pPr>
    </w:p>
    <w:p w14:paraId="1E915E4C" w14:textId="387E455E" w:rsidR="00431B9C" w:rsidRPr="00161FFE" w:rsidRDefault="00622590" w:rsidP="0049320F">
      <w:pPr>
        <w:tabs>
          <w:tab w:val="left" w:pos="851"/>
          <w:tab w:val="left" w:pos="1418"/>
        </w:tabs>
        <w:spacing w:after="0"/>
        <w:rPr>
          <w:rFonts w:cs="Arial"/>
          <w:b/>
        </w:rPr>
      </w:pPr>
      <w:proofErr w:type="gramStart"/>
      <w:r w:rsidRPr="00161FFE">
        <w:rPr>
          <w:rFonts w:cs="Arial"/>
          <w:b/>
        </w:rPr>
        <w:t>3.5.12</w:t>
      </w:r>
      <w:r w:rsidR="00431B9C" w:rsidRPr="00161FFE">
        <w:rPr>
          <w:rFonts w:cs="Arial"/>
          <w:b/>
        </w:rPr>
        <w:t xml:space="preserve">  Design</w:t>
      </w:r>
      <w:proofErr w:type="gramEnd"/>
      <w:r w:rsidR="00431B9C" w:rsidRPr="00161FFE">
        <w:rPr>
          <w:rFonts w:cs="Arial"/>
          <w:b/>
        </w:rPr>
        <w:t xml:space="preserve"> and Construction</w:t>
      </w:r>
    </w:p>
    <w:p w14:paraId="49DB3B49" w14:textId="77777777" w:rsidR="00431B9C" w:rsidRPr="00161FFE" w:rsidRDefault="00431B9C" w:rsidP="0049320F">
      <w:pPr>
        <w:tabs>
          <w:tab w:val="left" w:pos="851"/>
          <w:tab w:val="left" w:pos="1418"/>
        </w:tabs>
        <w:spacing w:after="0"/>
        <w:rPr>
          <w:rFonts w:cs="Arial"/>
          <w:highlight w:val="yellow"/>
        </w:rPr>
      </w:pPr>
    </w:p>
    <w:p w14:paraId="7A7E49C4" w14:textId="77777777" w:rsidR="00431B9C" w:rsidRPr="00161FFE" w:rsidRDefault="00431B9C" w:rsidP="0049320F">
      <w:pPr>
        <w:spacing w:after="0"/>
        <w:contextualSpacing/>
        <w:rPr>
          <w:rFonts w:cs="Arial"/>
        </w:rPr>
      </w:pPr>
      <w:r w:rsidRPr="00161FFE">
        <w:rPr>
          <w:rFonts w:cs="Arial"/>
        </w:rPr>
        <w:t xml:space="preserve">Design and Construction is forecast to underspend by £0.131m in 2016/17.  </w:t>
      </w:r>
    </w:p>
    <w:p w14:paraId="59E0D3C5" w14:textId="77777777" w:rsidR="00431B9C" w:rsidRPr="00161FFE" w:rsidRDefault="00431B9C" w:rsidP="0049320F">
      <w:pPr>
        <w:spacing w:after="0"/>
        <w:contextualSpacing/>
        <w:rPr>
          <w:rFonts w:cs="Arial"/>
        </w:rPr>
      </w:pPr>
    </w:p>
    <w:p w14:paraId="2129183E" w14:textId="77777777" w:rsidR="00431B9C" w:rsidRPr="00161FFE" w:rsidRDefault="00431B9C" w:rsidP="0049320F">
      <w:pPr>
        <w:pStyle w:val="ListParagraph"/>
        <w:numPr>
          <w:ilvl w:val="0"/>
          <w:numId w:val="28"/>
        </w:numPr>
        <w:autoSpaceDE/>
        <w:autoSpaceDN/>
        <w:adjustRightInd/>
        <w:spacing w:after="0"/>
        <w:rPr>
          <w:rFonts w:cs="Arial"/>
        </w:rPr>
      </w:pPr>
      <w:r w:rsidRPr="00161FFE">
        <w:rPr>
          <w:rFonts w:cs="Arial"/>
        </w:rPr>
        <w:t xml:space="preserve">Building Services Engineers is forecast to underspend by £0.131m due to overachievement of income which has been identified as part of a recent zero based budget review (ZBBR).  </w:t>
      </w:r>
    </w:p>
    <w:p w14:paraId="4093B6AC" w14:textId="77777777" w:rsidR="00431B9C" w:rsidRPr="00161FFE" w:rsidRDefault="00431B9C" w:rsidP="0049320F">
      <w:pPr>
        <w:spacing w:after="0"/>
        <w:contextualSpacing/>
        <w:rPr>
          <w:rFonts w:cs="Arial"/>
        </w:rPr>
      </w:pPr>
    </w:p>
    <w:p w14:paraId="7DD3CE81" w14:textId="6CC6AD14" w:rsidR="00431B9C" w:rsidRPr="00161FFE" w:rsidRDefault="00431B9C" w:rsidP="0049320F">
      <w:pPr>
        <w:spacing w:after="0"/>
        <w:contextualSpacing/>
        <w:rPr>
          <w:rFonts w:cs="Arial"/>
        </w:rPr>
      </w:pPr>
      <w:r w:rsidRPr="00161FFE">
        <w:rPr>
          <w:rFonts w:cs="Arial"/>
        </w:rPr>
        <w:t>The forecast includes the planned application of non-recurrent reserves funding of £6.210m from the Schools Prop Reserve to cover the cost of schools repairs and maintenance.</w:t>
      </w:r>
      <w:r w:rsidR="00BB1C78" w:rsidRPr="00161FFE">
        <w:rPr>
          <w:rFonts w:cs="Arial"/>
        </w:rPr>
        <w:t xml:space="preserve"> The forecast also includes an approved saving of £0.220m. </w:t>
      </w:r>
    </w:p>
    <w:p w14:paraId="15EE2B7B" w14:textId="77777777" w:rsidR="00431B9C" w:rsidRPr="00161FFE" w:rsidRDefault="00431B9C" w:rsidP="0049320F">
      <w:pPr>
        <w:tabs>
          <w:tab w:val="left" w:pos="851"/>
          <w:tab w:val="left" w:pos="1418"/>
        </w:tabs>
        <w:spacing w:after="0"/>
        <w:rPr>
          <w:rFonts w:cs="Arial"/>
        </w:rPr>
      </w:pPr>
    </w:p>
    <w:p w14:paraId="6D06DCBB" w14:textId="6A752DC0" w:rsidR="00431B9C" w:rsidRPr="00161FFE" w:rsidRDefault="00622590" w:rsidP="0049320F">
      <w:pPr>
        <w:autoSpaceDE/>
        <w:autoSpaceDN/>
        <w:adjustRightInd/>
        <w:spacing w:after="0"/>
        <w:rPr>
          <w:rFonts w:cs="Arial"/>
          <w:b/>
          <w:bCs/>
        </w:rPr>
      </w:pPr>
      <w:r w:rsidRPr="00161FFE">
        <w:rPr>
          <w:rFonts w:cs="Arial"/>
          <w:b/>
          <w:bCs/>
        </w:rPr>
        <w:t>3.5</w:t>
      </w:r>
      <w:r w:rsidR="00524679" w:rsidRPr="00161FFE">
        <w:rPr>
          <w:rFonts w:cs="Arial"/>
          <w:b/>
          <w:bCs/>
        </w:rPr>
        <w:t>.14</w:t>
      </w:r>
      <w:r w:rsidR="00431B9C" w:rsidRPr="00161FFE">
        <w:rPr>
          <w:rFonts w:cs="Arial"/>
          <w:b/>
          <w:bCs/>
        </w:rPr>
        <w:t xml:space="preserve">   Planning and Environment</w:t>
      </w:r>
    </w:p>
    <w:p w14:paraId="1C5D00D0" w14:textId="77777777" w:rsidR="00E539C5" w:rsidRPr="00161FFE" w:rsidRDefault="00E539C5" w:rsidP="0049320F">
      <w:pPr>
        <w:autoSpaceDE/>
        <w:autoSpaceDN/>
        <w:adjustRightInd/>
        <w:spacing w:after="0"/>
        <w:rPr>
          <w:rFonts w:cs="Arial"/>
          <w:b/>
          <w:bCs/>
        </w:rPr>
      </w:pPr>
    </w:p>
    <w:p w14:paraId="36F4EE53" w14:textId="4872372C" w:rsidR="00E539C5" w:rsidRPr="00161FFE" w:rsidRDefault="00E539C5" w:rsidP="0049320F">
      <w:pPr>
        <w:autoSpaceDE/>
        <w:autoSpaceDN/>
        <w:adjustRightInd/>
        <w:spacing w:after="0"/>
        <w:rPr>
          <w:rFonts w:cs="Arial"/>
          <w:bCs/>
        </w:rPr>
      </w:pPr>
      <w:r w:rsidRPr="00161FFE">
        <w:rPr>
          <w:rFonts w:cs="Arial"/>
          <w:bCs/>
        </w:rPr>
        <w:t>This service is forec</w:t>
      </w:r>
      <w:r w:rsidR="004D7DC8" w:rsidRPr="00161FFE">
        <w:rPr>
          <w:rFonts w:cs="Arial"/>
          <w:bCs/>
        </w:rPr>
        <w:t xml:space="preserve">asting </w:t>
      </w:r>
      <w:proofErr w:type="gramStart"/>
      <w:r w:rsidR="004D7DC8" w:rsidRPr="00161FFE">
        <w:rPr>
          <w:rFonts w:cs="Arial"/>
          <w:bCs/>
        </w:rPr>
        <w:t>an underspend</w:t>
      </w:r>
      <w:proofErr w:type="gramEnd"/>
      <w:r w:rsidR="004D7DC8" w:rsidRPr="00161FFE">
        <w:rPr>
          <w:rFonts w:cs="Arial"/>
          <w:bCs/>
        </w:rPr>
        <w:t xml:space="preserve"> of £0.402m </w:t>
      </w:r>
      <w:r w:rsidR="00E3239E" w:rsidRPr="00161FFE">
        <w:rPr>
          <w:rFonts w:cs="Arial"/>
          <w:bCs/>
        </w:rPr>
        <w:t xml:space="preserve">primarily as a result of additional income. </w:t>
      </w:r>
    </w:p>
    <w:p w14:paraId="3B4EE3FA" w14:textId="77777777" w:rsidR="00431B9C" w:rsidRPr="00161FFE" w:rsidRDefault="00431B9C" w:rsidP="0049320F">
      <w:pPr>
        <w:autoSpaceDE/>
        <w:autoSpaceDN/>
        <w:adjustRightInd/>
        <w:spacing w:after="0"/>
        <w:rPr>
          <w:rFonts w:cs="Arial"/>
          <w:b/>
          <w:bCs/>
        </w:rPr>
      </w:pPr>
    </w:p>
    <w:p w14:paraId="5C8CB2FA" w14:textId="5479CEFB" w:rsidR="00431B9C" w:rsidRPr="00161FFE" w:rsidRDefault="00622590" w:rsidP="0049320F">
      <w:pPr>
        <w:autoSpaceDE/>
        <w:autoSpaceDN/>
        <w:adjustRightInd/>
        <w:spacing w:after="0"/>
        <w:rPr>
          <w:rFonts w:cs="Arial"/>
          <w:b/>
          <w:bCs/>
        </w:rPr>
      </w:pPr>
      <w:r w:rsidRPr="00161FFE">
        <w:rPr>
          <w:rFonts w:cs="Arial"/>
          <w:b/>
          <w:bCs/>
        </w:rPr>
        <w:t>3.5</w:t>
      </w:r>
      <w:r w:rsidR="00431B9C" w:rsidRPr="00161FFE">
        <w:rPr>
          <w:rFonts w:cs="Arial"/>
          <w:b/>
          <w:bCs/>
        </w:rPr>
        <w:t>.1</w:t>
      </w:r>
      <w:r w:rsidR="00524679" w:rsidRPr="00161FFE">
        <w:rPr>
          <w:rFonts w:cs="Arial"/>
          <w:b/>
          <w:bCs/>
        </w:rPr>
        <w:t>5</w:t>
      </w:r>
      <w:r w:rsidR="00431B9C" w:rsidRPr="00161FFE">
        <w:rPr>
          <w:rFonts w:cs="Arial"/>
          <w:b/>
          <w:bCs/>
        </w:rPr>
        <w:tab/>
        <w:t xml:space="preserve">   Programme Office</w:t>
      </w:r>
    </w:p>
    <w:p w14:paraId="1CBB13C3" w14:textId="77777777" w:rsidR="00431B9C" w:rsidRPr="00161FFE" w:rsidRDefault="00431B9C" w:rsidP="0049320F">
      <w:pPr>
        <w:spacing w:after="0"/>
        <w:contextualSpacing/>
        <w:rPr>
          <w:rFonts w:cs="Arial"/>
        </w:rPr>
      </w:pPr>
    </w:p>
    <w:p w14:paraId="4FD01CD4" w14:textId="2D60A409" w:rsidR="00431B9C" w:rsidRPr="00161FFE" w:rsidRDefault="00431B9C" w:rsidP="0049320F">
      <w:pPr>
        <w:spacing w:after="0"/>
        <w:contextualSpacing/>
        <w:rPr>
          <w:rFonts w:cs="Arial"/>
        </w:rPr>
      </w:pPr>
      <w:r w:rsidRPr="00161FFE">
        <w:rPr>
          <w:rFonts w:cs="Arial"/>
        </w:rPr>
        <w:t>No variance from budget is forecast f</w:t>
      </w:r>
      <w:r w:rsidR="00E539C5" w:rsidRPr="00161FFE">
        <w:rPr>
          <w:rFonts w:cs="Arial"/>
        </w:rPr>
        <w:t xml:space="preserve">or Programme Office in 2016/17. </w:t>
      </w:r>
      <w:r w:rsidRPr="00161FFE">
        <w:rPr>
          <w:rFonts w:cs="Arial"/>
        </w:rPr>
        <w:t xml:space="preserve">The forecast includes </w:t>
      </w:r>
      <w:r w:rsidR="00E539C5" w:rsidRPr="00161FFE">
        <w:rPr>
          <w:rFonts w:cs="Arial"/>
        </w:rPr>
        <w:t xml:space="preserve">savings of £2.590m with </w:t>
      </w:r>
      <w:r w:rsidRPr="00161FFE">
        <w:rPr>
          <w:rFonts w:cs="Arial"/>
        </w:rPr>
        <w:t>the planned application of non-recurrent reserves funding of £0.369m from the Transitional Reserve to cover staff costs.</w:t>
      </w:r>
      <w:r w:rsidR="00E539C5" w:rsidRPr="00161FFE">
        <w:rPr>
          <w:rFonts w:cs="Arial"/>
        </w:rPr>
        <w:t xml:space="preserve"> It was originally approved that £0.831m would be required to support the 16/17 budget saving, however the service only now require the figure stated above. </w:t>
      </w:r>
    </w:p>
    <w:p w14:paraId="7DEEC648" w14:textId="77777777" w:rsidR="00431B9C" w:rsidRPr="00161FFE" w:rsidRDefault="00431B9C" w:rsidP="0049320F">
      <w:pPr>
        <w:spacing w:after="0"/>
        <w:contextualSpacing/>
        <w:rPr>
          <w:rFonts w:cs="Arial"/>
        </w:rPr>
      </w:pPr>
    </w:p>
    <w:p w14:paraId="4C39AD1E" w14:textId="6D63C9BC" w:rsidR="00431B9C" w:rsidRPr="00161FFE" w:rsidRDefault="00431B9C" w:rsidP="0049320F">
      <w:pPr>
        <w:tabs>
          <w:tab w:val="left" w:pos="851"/>
          <w:tab w:val="left" w:pos="1418"/>
        </w:tabs>
        <w:spacing w:after="0"/>
        <w:rPr>
          <w:rFonts w:cs="Arial"/>
          <w:b/>
          <w:bCs/>
        </w:rPr>
      </w:pPr>
      <w:r w:rsidRPr="00161FFE">
        <w:rPr>
          <w:rFonts w:cs="Arial"/>
          <w:b/>
          <w:bCs/>
        </w:rPr>
        <w:t>3.</w:t>
      </w:r>
      <w:r w:rsidR="00622590" w:rsidRPr="00161FFE">
        <w:rPr>
          <w:rFonts w:cs="Arial"/>
          <w:b/>
          <w:bCs/>
        </w:rPr>
        <w:t>5</w:t>
      </w:r>
      <w:r w:rsidR="00524679" w:rsidRPr="00161FFE">
        <w:rPr>
          <w:rFonts w:cs="Arial"/>
          <w:b/>
          <w:bCs/>
        </w:rPr>
        <w:t>.16</w:t>
      </w:r>
      <w:r w:rsidRPr="00161FFE">
        <w:rPr>
          <w:rFonts w:cs="Arial"/>
          <w:b/>
          <w:bCs/>
        </w:rPr>
        <w:tab/>
        <w:t>Skills, Learning and Development</w:t>
      </w:r>
    </w:p>
    <w:p w14:paraId="5BB34691" w14:textId="77777777" w:rsidR="00431B9C" w:rsidRPr="00161FFE" w:rsidRDefault="00431B9C" w:rsidP="0049320F">
      <w:pPr>
        <w:spacing w:after="0"/>
        <w:contextualSpacing/>
        <w:rPr>
          <w:rFonts w:cs="Arial"/>
        </w:rPr>
      </w:pPr>
    </w:p>
    <w:p w14:paraId="0F2EF4AA" w14:textId="2C491B4C" w:rsidR="00431B9C" w:rsidRPr="00161FFE" w:rsidRDefault="00431B9C" w:rsidP="0049320F">
      <w:pPr>
        <w:spacing w:after="0"/>
        <w:contextualSpacing/>
        <w:rPr>
          <w:rFonts w:cs="Arial"/>
        </w:rPr>
      </w:pPr>
      <w:r w:rsidRPr="00161FFE">
        <w:rPr>
          <w:rFonts w:cs="Arial"/>
        </w:rPr>
        <w:t>No variance from budget is forecast for Skills, Learn</w:t>
      </w:r>
      <w:r w:rsidR="00E539C5" w:rsidRPr="00161FFE">
        <w:rPr>
          <w:rFonts w:cs="Arial"/>
        </w:rPr>
        <w:t xml:space="preserve">ing and Development in 2016/17. </w:t>
      </w:r>
      <w:r w:rsidRPr="00161FFE">
        <w:rPr>
          <w:rFonts w:cs="Arial"/>
        </w:rPr>
        <w:t>The forecast includes</w:t>
      </w:r>
      <w:r w:rsidR="00E539C5" w:rsidRPr="00161FFE">
        <w:rPr>
          <w:rFonts w:cs="Arial"/>
        </w:rPr>
        <w:t xml:space="preserve"> a saving of £0.646m for 2016/17 with this offset by</w:t>
      </w:r>
      <w:r w:rsidRPr="00161FFE">
        <w:rPr>
          <w:rFonts w:cs="Arial"/>
        </w:rPr>
        <w:t xml:space="preserve"> the </w:t>
      </w:r>
      <w:r w:rsidR="00E539C5" w:rsidRPr="00161FFE">
        <w:rPr>
          <w:rFonts w:cs="Arial"/>
        </w:rPr>
        <w:t>approved</w:t>
      </w:r>
      <w:r w:rsidRPr="00161FFE">
        <w:rPr>
          <w:rFonts w:cs="Arial"/>
        </w:rPr>
        <w:t xml:space="preserve"> application of non-recurrent reserves funding of £0.</w:t>
      </w:r>
      <w:r w:rsidR="00845D4F" w:rsidRPr="00161FFE">
        <w:rPr>
          <w:rFonts w:cs="Arial"/>
        </w:rPr>
        <w:t>461</w:t>
      </w:r>
      <w:r w:rsidRPr="00161FFE">
        <w:rPr>
          <w:rFonts w:cs="Arial"/>
        </w:rPr>
        <w:t xml:space="preserve">m from the Transitional Reserve to cover staff costs, </w:t>
      </w:r>
      <w:r w:rsidR="0021134A" w:rsidRPr="00161FFE">
        <w:rPr>
          <w:rFonts w:cs="Arial"/>
        </w:rPr>
        <w:t>£0.287m is also from the Strategic Investment Reserve to cover the costs of the Ex Service Personnel Mentoring in Schools Programme. In addition £0.</w:t>
      </w:r>
      <w:r w:rsidR="00845D4F" w:rsidRPr="00161FFE">
        <w:rPr>
          <w:rFonts w:cs="Arial"/>
        </w:rPr>
        <w:t>423</w:t>
      </w:r>
      <w:r w:rsidR="0021134A" w:rsidRPr="00161FFE">
        <w:rPr>
          <w:rFonts w:cs="Arial"/>
        </w:rPr>
        <w:t>m has been applied as part of the forecast f</w:t>
      </w:r>
      <w:r w:rsidRPr="00161FFE">
        <w:rPr>
          <w:rFonts w:cs="Arial"/>
        </w:rPr>
        <w:t>rom the Strategic Investment Reserves to cover the costs of promoting sustainable employment for young people</w:t>
      </w:r>
      <w:r w:rsidR="0021134A" w:rsidRPr="00161FFE">
        <w:rPr>
          <w:rFonts w:cs="Arial"/>
        </w:rPr>
        <w:t>.</w:t>
      </w:r>
    </w:p>
    <w:p w14:paraId="46E8938D" w14:textId="77777777" w:rsidR="001378B7" w:rsidRPr="00161FFE" w:rsidRDefault="001378B7" w:rsidP="0049320F">
      <w:pPr>
        <w:spacing w:after="0"/>
        <w:contextualSpacing/>
        <w:rPr>
          <w:rFonts w:cs="Arial"/>
        </w:rPr>
      </w:pPr>
    </w:p>
    <w:p w14:paraId="637155EC" w14:textId="0DFA2670" w:rsidR="001378B7" w:rsidRPr="00161FFE" w:rsidRDefault="001378B7" w:rsidP="0049320F">
      <w:pPr>
        <w:spacing w:after="0"/>
        <w:contextualSpacing/>
        <w:rPr>
          <w:rFonts w:cs="Arial"/>
        </w:rPr>
      </w:pPr>
      <w:r w:rsidRPr="00161FFE">
        <w:rPr>
          <w:rFonts w:cs="Arial"/>
        </w:rPr>
        <w:t xml:space="preserve">The forecast also includes a </w:t>
      </w:r>
      <w:proofErr w:type="spellStart"/>
      <w:r w:rsidRPr="00161FFE">
        <w:rPr>
          <w:rFonts w:cs="Arial"/>
        </w:rPr>
        <w:t>draw down</w:t>
      </w:r>
      <w:proofErr w:type="spellEnd"/>
      <w:r w:rsidRPr="00161FFE">
        <w:rPr>
          <w:rFonts w:cs="Arial"/>
        </w:rPr>
        <w:t xml:space="preserve"> of £2.955m from the Transitional Reserve in relation to the approved Apprentices and Graduates programme. </w:t>
      </w:r>
    </w:p>
    <w:p w14:paraId="0ED023BF" w14:textId="77777777" w:rsidR="00622590" w:rsidRPr="00161FFE" w:rsidRDefault="00622590" w:rsidP="0049320F">
      <w:pPr>
        <w:spacing w:after="0"/>
        <w:contextualSpacing/>
        <w:rPr>
          <w:rFonts w:cs="Arial"/>
        </w:rPr>
      </w:pPr>
    </w:p>
    <w:p w14:paraId="61F801B2" w14:textId="77777777" w:rsidR="00622590" w:rsidRDefault="00622590" w:rsidP="0049320F">
      <w:pPr>
        <w:spacing w:after="0"/>
        <w:contextualSpacing/>
        <w:rPr>
          <w:rFonts w:cs="Arial"/>
        </w:rPr>
      </w:pPr>
    </w:p>
    <w:p w14:paraId="0265E30F" w14:textId="77777777" w:rsidR="00622590" w:rsidRDefault="00622590" w:rsidP="0049320F">
      <w:pPr>
        <w:spacing w:after="0"/>
        <w:contextualSpacing/>
        <w:rPr>
          <w:rFonts w:cs="Arial"/>
        </w:rPr>
      </w:pPr>
    </w:p>
    <w:p w14:paraId="19C45E50" w14:textId="77777777" w:rsidR="00622590" w:rsidRDefault="00622590" w:rsidP="0049320F">
      <w:pPr>
        <w:spacing w:after="0"/>
        <w:contextualSpacing/>
        <w:rPr>
          <w:rFonts w:cs="Arial"/>
        </w:rPr>
      </w:pPr>
    </w:p>
    <w:p w14:paraId="195DA486" w14:textId="77777777" w:rsidR="0021134A" w:rsidRDefault="0021134A" w:rsidP="0049320F">
      <w:pPr>
        <w:spacing w:after="0"/>
        <w:contextualSpacing/>
        <w:rPr>
          <w:rFonts w:cs="Arial"/>
        </w:rPr>
      </w:pPr>
    </w:p>
    <w:p w14:paraId="387D62E6" w14:textId="77777777" w:rsidR="0021134A" w:rsidRDefault="0021134A" w:rsidP="0049320F">
      <w:pPr>
        <w:spacing w:after="0"/>
        <w:contextualSpacing/>
        <w:rPr>
          <w:rFonts w:cs="Arial"/>
        </w:rPr>
      </w:pPr>
    </w:p>
    <w:p w14:paraId="3D47F090" w14:textId="77777777" w:rsidR="0021134A" w:rsidRDefault="0021134A" w:rsidP="0049320F">
      <w:pPr>
        <w:spacing w:after="0"/>
        <w:contextualSpacing/>
        <w:rPr>
          <w:rFonts w:cs="Arial"/>
        </w:rPr>
      </w:pPr>
    </w:p>
    <w:p w14:paraId="0BE4AA71" w14:textId="77777777" w:rsidR="0021134A" w:rsidRDefault="0021134A" w:rsidP="0049320F">
      <w:pPr>
        <w:spacing w:after="0"/>
        <w:contextualSpacing/>
        <w:rPr>
          <w:rFonts w:cs="Arial"/>
        </w:rPr>
      </w:pPr>
    </w:p>
    <w:p w14:paraId="5E6B7AA1" w14:textId="77777777" w:rsidR="0021134A" w:rsidRDefault="0021134A" w:rsidP="0049320F">
      <w:pPr>
        <w:spacing w:after="0"/>
        <w:contextualSpacing/>
        <w:rPr>
          <w:rFonts w:cs="Arial"/>
        </w:rPr>
      </w:pPr>
    </w:p>
    <w:p w14:paraId="5C4C5A90" w14:textId="77777777" w:rsidR="0021134A" w:rsidRDefault="0021134A" w:rsidP="0049320F">
      <w:pPr>
        <w:spacing w:after="0"/>
        <w:contextualSpacing/>
        <w:rPr>
          <w:rFonts w:cs="Arial"/>
        </w:rPr>
      </w:pPr>
    </w:p>
    <w:p w14:paraId="4EBB8F06" w14:textId="77777777" w:rsidR="005165D2" w:rsidRDefault="005165D2" w:rsidP="0049320F">
      <w:pPr>
        <w:spacing w:after="0"/>
        <w:contextualSpacing/>
        <w:rPr>
          <w:rFonts w:cs="Arial"/>
        </w:rPr>
      </w:pPr>
    </w:p>
    <w:p w14:paraId="0C6AA682" w14:textId="77777777" w:rsidR="005165D2" w:rsidRDefault="005165D2" w:rsidP="0049320F">
      <w:pPr>
        <w:spacing w:after="0"/>
        <w:contextualSpacing/>
        <w:rPr>
          <w:rFonts w:cs="Arial"/>
        </w:rPr>
      </w:pPr>
    </w:p>
    <w:p w14:paraId="72828E15" w14:textId="77777777" w:rsidR="005165D2" w:rsidRDefault="005165D2" w:rsidP="0049320F">
      <w:pPr>
        <w:spacing w:after="0"/>
        <w:contextualSpacing/>
        <w:rPr>
          <w:rFonts w:cs="Arial"/>
        </w:rPr>
      </w:pPr>
    </w:p>
    <w:p w14:paraId="1591B910" w14:textId="77777777" w:rsidR="005165D2" w:rsidRDefault="005165D2" w:rsidP="0049320F">
      <w:pPr>
        <w:spacing w:after="0"/>
        <w:contextualSpacing/>
        <w:rPr>
          <w:rFonts w:cs="Arial"/>
        </w:rPr>
      </w:pPr>
    </w:p>
    <w:p w14:paraId="127550FD" w14:textId="77777777" w:rsidR="005165D2" w:rsidRDefault="005165D2" w:rsidP="0049320F">
      <w:pPr>
        <w:spacing w:after="0"/>
        <w:contextualSpacing/>
        <w:rPr>
          <w:rFonts w:cs="Arial"/>
        </w:rPr>
      </w:pPr>
    </w:p>
    <w:p w14:paraId="39B0B9E6" w14:textId="77777777" w:rsidR="005165D2" w:rsidRDefault="005165D2" w:rsidP="0049320F">
      <w:pPr>
        <w:spacing w:after="0"/>
        <w:contextualSpacing/>
        <w:rPr>
          <w:rFonts w:cs="Arial"/>
        </w:rPr>
      </w:pPr>
    </w:p>
    <w:p w14:paraId="783B2B9D" w14:textId="77777777" w:rsidR="0021134A" w:rsidRDefault="0021134A" w:rsidP="0049320F">
      <w:pPr>
        <w:spacing w:after="0"/>
        <w:contextualSpacing/>
        <w:rPr>
          <w:rFonts w:cs="Arial"/>
        </w:rPr>
      </w:pPr>
    </w:p>
    <w:p w14:paraId="7770AAE7" w14:textId="77777777" w:rsidR="00622590" w:rsidRDefault="00622590" w:rsidP="0049320F">
      <w:pPr>
        <w:spacing w:after="0"/>
        <w:contextualSpacing/>
        <w:rPr>
          <w:rFonts w:cs="Arial"/>
        </w:rPr>
      </w:pPr>
    </w:p>
    <w:p w14:paraId="0BA8F73F" w14:textId="77777777" w:rsidR="00845D4F" w:rsidRDefault="00845D4F" w:rsidP="0049320F">
      <w:pPr>
        <w:spacing w:after="0"/>
        <w:contextualSpacing/>
        <w:rPr>
          <w:rFonts w:cs="Arial"/>
        </w:rPr>
      </w:pPr>
    </w:p>
    <w:p w14:paraId="6C21EE0C" w14:textId="77777777" w:rsidR="00845D4F" w:rsidRDefault="00845D4F" w:rsidP="0049320F">
      <w:pPr>
        <w:spacing w:after="0"/>
        <w:contextualSpacing/>
        <w:rPr>
          <w:rFonts w:cs="Arial"/>
        </w:rPr>
      </w:pPr>
    </w:p>
    <w:p w14:paraId="58DAD1AD" w14:textId="77777777" w:rsidR="00CB3546" w:rsidRDefault="00CB3546" w:rsidP="0049320F">
      <w:pPr>
        <w:spacing w:after="0"/>
        <w:contextualSpacing/>
        <w:rPr>
          <w:rFonts w:cs="Arial"/>
        </w:rPr>
      </w:pPr>
    </w:p>
    <w:p w14:paraId="5DAAC941" w14:textId="77777777" w:rsidR="00CB3546" w:rsidRDefault="00CB3546" w:rsidP="0049320F">
      <w:pPr>
        <w:spacing w:after="0"/>
        <w:contextualSpacing/>
        <w:rPr>
          <w:rFonts w:cs="Arial"/>
        </w:rPr>
      </w:pPr>
    </w:p>
    <w:p w14:paraId="7BF7B759" w14:textId="77777777" w:rsidR="00CB3546" w:rsidRDefault="00CB3546" w:rsidP="0049320F">
      <w:pPr>
        <w:spacing w:after="0"/>
        <w:contextualSpacing/>
        <w:rPr>
          <w:rFonts w:cs="Arial"/>
        </w:rPr>
      </w:pPr>
    </w:p>
    <w:p w14:paraId="6941D162" w14:textId="77777777" w:rsidR="00CB3546" w:rsidRDefault="00CB3546" w:rsidP="0049320F">
      <w:pPr>
        <w:spacing w:after="0"/>
        <w:contextualSpacing/>
        <w:rPr>
          <w:rFonts w:cs="Arial"/>
        </w:rPr>
      </w:pPr>
    </w:p>
    <w:p w14:paraId="1D0A86C7" w14:textId="77777777" w:rsidR="00CB3546" w:rsidRDefault="00CB3546" w:rsidP="0049320F">
      <w:pPr>
        <w:spacing w:after="0"/>
        <w:contextualSpacing/>
        <w:rPr>
          <w:rFonts w:cs="Arial"/>
        </w:rPr>
      </w:pPr>
    </w:p>
    <w:p w14:paraId="37E14288" w14:textId="77777777" w:rsidR="00CB3546" w:rsidRDefault="00CB3546" w:rsidP="0049320F">
      <w:pPr>
        <w:spacing w:after="0"/>
        <w:contextualSpacing/>
        <w:rPr>
          <w:rFonts w:cs="Arial"/>
        </w:rPr>
      </w:pPr>
    </w:p>
    <w:p w14:paraId="57C224C3" w14:textId="77777777" w:rsidR="00CB3546" w:rsidRDefault="00CB3546" w:rsidP="0049320F">
      <w:pPr>
        <w:spacing w:after="0"/>
        <w:contextualSpacing/>
        <w:rPr>
          <w:rFonts w:cs="Arial"/>
        </w:rPr>
      </w:pPr>
    </w:p>
    <w:p w14:paraId="4E092002" w14:textId="77777777" w:rsidR="00CB3546" w:rsidRDefault="00CB3546" w:rsidP="0049320F">
      <w:pPr>
        <w:spacing w:after="0"/>
        <w:contextualSpacing/>
        <w:rPr>
          <w:rFonts w:cs="Arial"/>
        </w:rPr>
      </w:pPr>
    </w:p>
    <w:p w14:paraId="4F1DDE64" w14:textId="77777777" w:rsidR="00CB3546" w:rsidRDefault="00CB3546" w:rsidP="0049320F">
      <w:pPr>
        <w:spacing w:after="0"/>
        <w:contextualSpacing/>
        <w:rPr>
          <w:rFonts w:cs="Arial"/>
        </w:rPr>
      </w:pPr>
    </w:p>
    <w:p w14:paraId="47E99139" w14:textId="77777777" w:rsidR="00CB3546" w:rsidRDefault="00CB3546" w:rsidP="0049320F">
      <w:pPr>
        <w:spacing w:after="0"/>
        <w:contextualSpacing/>
        <w:rPr>
          <w:rFonts w:cs="Arial"/>
        </w:rPr>
      </w:pPr>
    </w:p>
    <w:p w14:paraId="66750AF3" w14:textId="77777777" w:rsidR="00CB3546" w:rsidRDefault="00CB3546" w:rsidP="0049320F">
      <w:pPr>
        <w:spacing w:after="0"/>
        <w:contextualSpacing/>
        <w:rPr>
          <w:rFonts w:cs="Arial"/>
        </w:rPr>
      </w:pPr>
    </w:p>
    <w:p w14:paraId="333204EA" w14:textId="77777777" w:rsidR="00CB3546" w:rsidRDefault="00CB3546" w:rsidP="0049320F">
      <w:pPr>
        <w:spacing w:after="0"/>
        <w:contextualSpacing/>
        <w:rPr>
          <w:rFonts w:cs="Arial"/>
        </w:rPr>
      </w:pPr>
    </w:p>
    <w:p w14:paraId="20F3496B" w14:textId="77777777" w:rsidR="00CB3546" w:rsidRDefault="00CB3546" w:rsidP="0049320F">
      <w:pPr>
        <w:spacing w:after="0"/>
        <w:contextualSpacing/>
        <w:rPr>
          <w:rFonts w:cs="Arial"/>
        </w:rPr>
      </w:pPr>
    </w:p>
    <w:p w14:paraId="3054617E" w14:textId="77777777" w:rsidR="00CB3546" w:rsidRDefault="00CB3546" w:rsidP="0049320F">
      <w:pPr>
        <w:spacing w:after="0"/>
        <w:contextualSpacing/>
        <w:rPr>
          <w:rFonts w:cs="Arial"/>
        </w:rPr>
      </w:pPr>
    </w:p>
    <w:p w14:paraId="302CED86" w14:textId="77777777" w:rsidR="00CB3546" w:rsidRDefault="00CB3546" w:rsidP="0049320F">
      <w:pPr>
        <w:spacing w:after="0"/>
        <w:contextualSpacing/>
        <w:rPr>
          <w:rFonts w:cs="Arial"/>
        </w:rPr>
      </w:pPr>
    </w:p>
    <w:p w14:paraId="46A103D9" w14:textId="77777777" w:rsidR="00CB3546" w:rsidRDefault="00CB3546" w:rsidP="0049320F">
      <w:pPr>
        <w:spacing w:after="0"/>
        <w:contextualSpacing/>
        <w:rPr>
          <w:rFonts w:cs="Arial"/>
        </w:rPr>
      </w:pPr>
    </w:p>
    <w:p w14:paraId="2A1D7154" w14:textId="77777777" w:rsidR="00CB3546" w:rsidRDefault="00CB3546" w:rsidP="0049320F">
      <w:pPr>
        <w:spacing w:after="0"/>
        <w:contextualSpacing/>
        <w:rPr>
          <w:rFonts w:cs="Arial"/>
        </w:rPr>
      </w:pPr>
    </w:p>
    <w:p w14:paraId="469160A8" w14:textId="77777777" w:rsidR="00CB3546" w:rsidRDefault="00CB3546" w:rsidP="0049320F">
      <w:pPr>
        <w:spacing w:after="0"/>
        <w:contextualSpacing/>
        <w:rPr>
          <w:rFonts w:cs="Arial"/>
        </w:rPr>
      </w:pPr>
    </w:p>
    <w:p w14:paraId="0AE3D7B5" w14:textId="77777777" w:rsidR="00A54E39" w:rsidRPr="00A84856" w:rsidRDefault="00A54E39" w:rsidP="0049320F">
      <w:pPr>
        <w:spacing w:after="0"/>
        <w:contextualSpacing/>
        <w:rPr>
          <w:rFonts w:cs="Arial"/>
        </w:rPr>
      </w:pPr>
    </w:p>
    <w:p w14:paraId="47E45D1E" w14:textId="77777777" w:rsidR="00431B9C" w:rsidRDefault="00431B9C" w:rsidP="0049320F">
      <w:pPr>
        <w:tabs>
          <w:tab w:val="left" w:pos="851"/>
          <w:tab w:val="left" w:pos="1418"/>
        </w:tabs>
        <w:spacing w:after="0"/>
        <w:rPr>
          <w:b/>
        </w:rPr>
      </w:pPr>
    </w:p>
    <w:p w14:paraId="232B0D6C" w14:textId="4AA07771" w:rsidR="00431B9C" w:rsidRDefault="00431B9C" w:rsidP="0049320F">
      <w:pPr>
        <w:tabs>
          <w:tab w:val="left" w:pos="851"/>
          <w:tab w:val="left" w:pos="1418"/>
        </w:tabs>
        <w:spacing w:after="0"/>
        <w:rPr>
          <w:b/>
        </w:rPr>
      </w:pPr>
      <w:r>
        <w:rPr>
          <w:b/>
        </w:rPr>
        <w:lastRenderedPageBreak/>
        <w:t>3.</w:t>
      </w:r>
      <w:r w:rsidR="00622590">
        <w:rPr>
          <w:b/>
        </w:rPr>
        <w:t>6</w:t>
      </w:r>
      <w:r>
        <w:rPr>
          <w:b/>
        </w:rPr>
        <w:tab/>
        <w:t>Commissioning Services</w:t>
      </w:r>
    </w:p>
    <w:p w14:paraId="45AEA2D4" w14:textId="77777777" w:rsidR="00431B9C" w:rsidRDefault="00431B9C" w:rsidP="0049320F">
      <w:pPr>
        <w:tabs>
          <w:tab w:val="left" w:pos="851"/>
          <w:tab w:val="left" w:pos="1418"/>
        </w:tabs>
        <w:spacing w:after="0"/>
        <w:rPr>
          <w:rFonts w:cs="Arial"/>
        </w:rPr>
      </w:pPr>
    </w:p>
    <w:tbl>
      <w:tblPr>
        <w:tblW w:w="9446" w:type="dxa"/>
        <w:tblLook w:val="04A0" w:firstRow="1" w:lastRow="0" w:firstColumn="1" w:lastColumn="0" w:noHBand="0" w:noVBand="1"/>
      </w:tblPr>
      <w:tblGrid>
        <w:gridCol w:w="869"/>
        <w:gridCol w:w="4075"/>
        <w:gridCol w:w="1502"/>
        <w:gridCol w:w="1500"/>
        <w:gridCol w:w="1500"/>
      </w:tblGrid>
      <w:tr w:rsidR="00431B9C" w:rsidRPr="00B64B4F" w14:paraId="72A56BB1" w14:textId="77777777" w:rsidTr="00431B9C">
        <w:trPr>
          <w:trHeight w:val="1055"/>
        </w:trPr>
        <w:tc>
          <w:tcPr>
            <w:tcW w:w="869" w:type="dxa"/>
            <w:tcBorders>
              <w:top w:val="single" w:sz="4" w:space="0" w:color="auto"/>
              <w:left w:val="single" w:sz="4" w:space="0" w:color="auto"/>
              <w:bottom w:val="nil"/>
              <w:right w:val="single" w:sz="4" w:space="0" w:color="auto"/>
            </w:tcBorders>
            <w:shd w:val="clear" w:color="000000" w:fill="D9D9D9"/>
            <w:vAlign w:val="bottom"/>
            <w:hideMark/>
          </w:tcPr>
          <w:p w14:paraId="57A97A80" w14:textId="77777777" w:rsidR="00431B9C" w:rsidRPr="00B64B4F" w:rsidRDefault="00431B9C" w:rsidP="0049320F">
            <w:pPr>
              <w:autoSpaceDE/>
              <w:autoSpaceDN/>
              <w:adjustRightInd/>
              <w:spacing w:after="0"/>
              <w:rPr>
                <w:rFonts w:eastAsia="Times New Roman" w:cs="Arial"/>
                <w:b/>
                <w:bCs/>
                <w:sz w:val="20"/>
                <w:szCs w:val="20"/>
                <w:lang w:eastAsia="en-GB"/>
              </w:rPr>
            </w:pPr>
            <w:r w:rsidRPr="00B64B4F">
              <w:rPr>
                <w:rFonts w:eastAsia="Times New Roman" w:cs="Arial"/>
                <w:b/>
                <w:bCs/>
                <w:sz w:val="20"/>
                <w:szCs w:val="20"/>
                <w:lang w:eastAsia="en-GB"/>
              </w:rPr>
              <w:t>Ref</w:t>
            </w:r>
          </w:p>
        </w:tc>
        <w:tc>
          <w:tcPr>
            <w:tcW w:w="4075" w:type="dxa"/>
            <w:tcBorders>
              <w:top w:val="single" w:sz="4" w:space="0" w:color="auto"/>
              <w:left w:val="nil"/>
              <w:bottom w:val="nil"/>
              <w:right w:val="single" w:sz="4" w:space="0" w:color="auto"/>
            </w:tcBorders>
            <w:shd w:val="clear" w:color="000000" w:fill="D9D9D9"/>
            <w:vAlign w:val="bottom"/>
            <w:hideMark/>
          </w:tcPr>
          <w:p w14:paraId="1BCD7863" w14:textId="623814B3" w:rsidR="00431B9C" w:rsidRPr="00B64B4F" w:rsidRDefault="00A54E39" w:rsidP="00A54E39">
            <w:pPr>
              <w:autoSpaceDE/>
              <w:autoSpaceDN/>
              <w:adjustRightInd/>
              <w:spacing w:after="0"/>
              <w:jc w:val="left"/>
              <w:rPr>
                <w:rFonts w:eastAsia="Times New Roman" w:cs="Arial"/>
                <w:b/>
                <w:bCs/>
                <w:sz w:val="20"/>
                <w:szCs w:val="20"/>
                <w:lang w:eastAsia="en-GB"/>
              </w:rPr>
            </w:pPr>
            <w:r w:rsidRPr="005674C8">
              <w:rPr>
                <w:rFonts w:eastAsia="Times New Roman" w:cs="Arial"/>
                <w:b/>
                <w:bCs/>
                <w:sz w:val="20"/>
                <w:szCs w:val="20"/>
                <w:lang w:eastAsia="en-GB"/>
              </w:rPr>
              <w:t>HEAD OF SERVICE</w:t>
            </w:r>
          </w:p>
        </w:tc>
        <w:tc>
          <w:tcPr>
            <w:tcW w:w="1502" w:type="dxa"/>
            <w:tcBorders>
              <w:top w:val="single" w:sz="4" w:space="0" w:color="auto"/>
              <w:left w:val="nil"/>
              <w:bottom w:val="nil"/>
              <w:right w:val="single" w:sz="4" w:space="0" w:color="auto"/>
            </w:tcBorders>
            <w:shd w:val="clear" w:color="000000" w:fill="D9D9D9"/>
            <w:vAlign w:val="bottom"/>
            <w:hideMark/>
          </w:tcPr>
          <w:p w14:paraId="3490396B" w14:textId="77777777" w:rsidR="00431B9C" w:rsidRPr="00B64B4F" w:rsidRDefault="00431B9C" w:rsidP="0049320F">
            <w:pPr>
              <w:autoSpaceDE/>
              <w:autoSpaceDN/>
              <w:adjustRightInd/>
              <w:spacing w:after="0"/>
              <w:rPr>
                <w:rFonts w:eastAsia="Times New Roman" w:cs="Arial"/>
                <w:b/>
                <w:bCs/>
                <w:sz w:val="20"/>
                <w:szCs w:val="20"/>
                <w:lang w:eastAsia="en-GB"/>
              </w:rPr>
            </w:pPr>
            <w:r w:rsidRPr="00B64B4F">
              <w:rPr>
                <w:rFonts w:eastAsia="Times New Roman" w:cs="Arial"/>
                <w:b/>
                <w:bCs/>
                <w:sz w:val="20"/>
                <w:szCs w:val="20"/>
                <w:lang w:eastAsia="en-GB"/>
              </w:rPr>
              <w:t>Approved Budget</w:t>
            </w:r>
          </w:p>
        </w:tc>
        <w:tc>
          <w:tcPr>
            <w:tcW w:w="1500" w:type="dxa"/>
            <w:tcBorders>
              <w:top w:val="single" w:sz="4" w:space="0" w:color="auto"/>
              <w:left w:val="nil"/>
              <w:bottom w:val="nil"/>
              <w:right w:val="single" w:sz="4" w:space="0" w:color="auto"/>
            </w:tcBorders>
            <w:shd w:val="clear" w:color="000000" w:fill="D9D9D9"/>
            <w:vAlign w:val="bottom"/>
            <w:hideMark/>
          </w:tcPr>
          <w:p w14:paraId="1BF79457" w14:textId="77777777" w:rsidR="00431B9C" w:rsidRPr="00B64B4F" w:rsidRDefault="00431B9C" w:rsidP="0049320F">
            <w:pPr>
              <w:autoSpaceDE/>
              <w:autoSpaceDN/>
              <w:adjustRightInd/>
              <w:spacing w:after="0"/>
              <w:rPr>
                <w:rFonts w:eastAsia="Times New Roman" w:cs="Arial"/>
                <w:b/>
                <w:bCs/>
                <w:sz w:val="20"/>
                <w:szCs w:val="20"/>
                <w:lang w:eastAsia="en-GB"/>
              </w:rPr>
            </w:pPr>
            <w:r w:rsidRPr="00B64B4F">
              <w:rPr>
                <w:rFonts w:eastAsia="Times New Roman" w:cs="Arial"/>
                <w:b/>
                <w:bCs/>
                <w:sz w:val="20"/>
                <w:szCs w:val="20"/>
                <w:lang w:eastAsia="en-GB"/>
              </w:rPr>
              <w:t>Current Period Forecast Outturn</w:t>
            </w:r>
          </w:p>
        </w:tc>
        <w:tc>
          <w:tcPr>
            <w:tcW w:w="1500" w:type="dxa"/>
            <w:tcBorders>
              <w:top w:val="single" w:sz="4" w:space="0" w:color="auto"/>
              <w:left w:val="nil"/>
              <w:bottom w:val="nil"/>
              <w:right w:val="single" w:sz="4" w:space="0" w:color="auto"/>
            </w:tcBorders>
            <w:shd w:val="clear" w:color="000000" w:fill="D9D9D9"/>
            <w:vAlign w:val="bottom"/>
            <w:hideMark/>
          </w:tcPr>
          <w:p w14:paraId="0402989D" w14:textId="77777777" w:rsidR="00431B9C" w:rsidRPr="00B64B4F" w:rsidRDefault="00431B9C" w:rsidP="0049320F">
            <w:pPr>
              <w:autoSpaceDE/>
              <w:autoSpaceDN/>
              <w:adjustRightInd/>
              <w:spacing w:after="0"/>
              <w:rPr>
                <w:rFonts w:eastAsia="Times New Roman" w:cs="Arial"/>
                <w:b/>
                <w:bCs/>
                <w:sz w:val="20"/>
                <w:szCs w:val="20"/>
                <w:lang w:eastAsia="en-GB"/>
              </w:rPr>
            </w:pPr>
            <w:r w:rsidRPr="00B64B4F">
              <w:rPr>
                <w:rFonts w:eastAsia="Times New Roman" w:cs="Arial"/>
                <w:b/>
                <w:bCs/>
                <w:sz w:val="20"/>
                <w:szCs w:val="20"/>
                <w:lang w:eastAsia="en-GB"/>
              </w:rPr>
              <w:t>Current Period Forecast Variance</w:t>
            </w:r>
          </w:p>
        </w:tc>
      </w:tr>
      <w:tr w:rsidR="00431B9C" w:rsidRPr="00B64B4F" w14:paraId="73553059" w14:textId="77777777" w:rsidTr="00431B9C">
        <w:trPr>
          <w:trHeight w:val="263"/>
        </w:trPr>
        <w:tc>
          <w:tcPr>
            <w:tcW w:w="869" w:type="dxa"/>
            <w:tcBorders>
              <w:top w:val="nil"/>
              <w:left w:val="single" w:sz="4" w:space="0" w:color="auto"/>
              <w:bottom w:val="single" w:sz="4" w:space="0" w:color="auto"/>
              <w:right w:val="single" w:sz="4" w:space="0" w:color="auto"/>
            </w:tcBorders>
            <w:shd w:val="clear" w:color="000000" w:fill="D9D9D9"/>
            <w:vAlign w:val="bottom"/>
            <w:hideMark/>
          </w:tcPr>
          <w:p w14:paraId="4F214908" w14:textId="77777777" w:rsidR="00431B9C" w:rsidRPr="00B64B4F" w:rsidRDefault="00431B9C" w:rsidP="0049320F">
            <w:pPr>
              <w:autoSpaceDE/>
              <w:autoSpaceDN/>
              <w:adjustRightInd/>
              <w:spacing w:after="0"/>
              <w:rPr>
                <w:rFonts w:eastAsia="Times New Roman" w:cs="Arial"/>
                <w:b/>
                <w:bCs/>
                <w:sz w:val="20"/>
                <w:szCs w:val="20"/>
                <w:lang w:eastAsia="en-GB"/>
              </w:rPr>
            </w:pPr>
            <w:r w:rsidRPr="00B64B4F">
              <w:rPr>
                <w:rFonts w:eastAsia="Times New Roman" w:cs="Arial"/>
                <w:b/>
                <w:bCs/>
                <w:sz w:val="20"/>
                <w:szCs w:val="20"/>
                <w:lang w:eastAsia="en-GB"/>
              </w:rPr>
              <w:t> </w:t>
            </w:r>
          </w:p>
        </w:tc>
        <w:tc>
          <w:tcPr>
            <w:tcW w:w="4075" w:type="dxa"/>
            <w:tcBorders>
              <w:top w:val="nil"/>
              <w:left w:val="nil"/>
              <w:bottom w:val="single" w:sz="4" w:space="0" w:color="auto"/>
              <w:right w:val="single" w:sz="4" w:space="0" w:color="auto"/>
            </w:tcBorders>
            <w:shd w:val="clear" w:color="000000" w:fill="D9D9D9"/>
            <w:vAlign w:val="bottom"/>
            <w:hideMark/>
          </w:tcPr>
          <w:p w14:paraId="4AFB88C1" w14:textId="77777777" w:rsidR="00431B9C" w:rsidRPr="00B64B4F" w:rsidRDefault="00431B9C" w:rsidP="00A54E39">
            <w:pPr>
              <w:autoSpaceDE/>
              <w:autoSpaceDN/>
              <w:adjustRightInd/>
              <w:spacing w:after="0"/>
              <w:jc w:val="left"/>
              <w:rPr>
                <w:rFonts w:eastAsia="Times New Roman" w:cs="Arial"/>
                <w:b/>
                <w:bCs/>
                <w:sz w:val="20"/>
                <w:szCs w:val="20"/>
                <w:lang w:eastAsia="en-GB"/>
              </w:rPr>
            </w:pPr>
            <w:r w:rsidRPr="00B64B4F">
              <w:rPr>
                <w:rFonts w:eastAsia="Times New Roman" w:cs="Arial"/>
                <w:b/>
                <w:bCs/>
                <w:sz w:val="20"/>
                <w:szCs w:val="20"/>
                <w:lang w:eastAsia="en-GB"/>
              </w:rPr>
              <w:t> </w:t>
            </w:r>
          </w:p>
        </w:tc>
        <w:tc>
          <w:tcPr>
            <w:tcW w:w="1502" w:type="dxa"/>
            <w:tcBorders>
              <w:top w:val="nil"/>
              <w:left w:val="nil"/>
              <w:bottom w:val="single" w:sz="4" w:space="0" w:color="auto"/>
              <w:right w:val="single" w:sz="4" w:space="0" w:color="auto"/>
            </w:tcBorders>
            <w:shd w:val="clear" w:color="000000" w:fill="D9D9D9"/>
            <w:vAlign w:val="bottom"/>
            <w:hideMark/>
          </w:tcPr>
          <w:p w14:paraId="2EBA2D94" w14:textId="77777777" w:rsidR="00431B9C" w:rsidRPr="00B64B4F" w:rsidRDefault="00431B9C" w:rsidP="0049320F">
            <w:pPr>
              <w:autoSpaceDE/>
              <w:autoSpaceDN/>
              <w:adjustRightInd/>
              <w:spacing w:after="0"/>
              <w:rPr>
                <w:rFonts w:eastAsia="Times New Roman" w:cs="Arial"/>
                <w:b/>
                <w:bCs/>
                <w:sz w:val="20"/>
                <w:szCs w:val="20"/>
                <w:lang w:eastAsia="en-GB"/>
              </w:rPr>
            </w:pPr>
            <w:r w:rsidRPr="00B64B4F">
              <w:rPr>
                <w:rFonts w:eastAsia="Times New Roman" w:cs="Arial"/>
                <w:b/>
                <w:bCs/>
                <w:sz w:val="20"/>
                <w:szCs w:val="20"/>
                <w:lang w:eastAsia="en-GB"/>
              </w:rPr>
              <w:t>£m</w:t>
            </w:r>
          </w:p>
        </w:tc>
        <w:tc>
          <w:tcPr>
            <w:tcW w:w="1500" w:type="dxa"/>
            <w:tcBorders>
              <w:top w:val="nil"/>
              <w:left w:val="nil"/>
              <w:bottom w:val="single" w:sz="4" w:space="0" w:color="auto"/>
              <w:right w:val="single" w:sz="4" w:space="0" w:color="auto"/>
            </w:tcBorders>
            <w:shd w:val="clear" w:color="000000" w:fill="D9D9D9"/>
            <w:vAlign w:val="bottom"/>
            <w:hideMark/>
          </w:tcPr>
          <w:p w14:paraId="37735BF6" w14:textId="77777777" w:rsidR="00431B9C" w:rsidRPr="00B64B4F" w:rsidRDefault="00431B9C" w:rsidP="0049320F">
            <w:pPr>
              <w:autoSpaceDE/>
              <w:autoSpaceDN/>
              <w:adjustRightInd/>
              <w:spacing w:after="0"/>
              <w:rPr>
                <w:rFonts w:eastAsia="Times New Roman" w:cs="Arial"/>
                <w:b/>
                <w:bCs/>
                <w:sz w:val="20"/>
                <w:szCs w:val="20"/>
                <w:lang w:eastAsia="en-GB"/>
              </w:rPr>
            </w:pPr>
            <w:r w:rsidRPr="00B64B4F">
              <w:rPr>
                <w:rFonts w:eastAsia="Times New Roman" w:cs="Arial"/>
                <w:b/>
                <w:bCs/>
                <w:sz w:val="20"/>
                <w:szCs w:val="20"/>
                <w:lang w:eastAsia="en-GB"/>
              </w:rPr>
              <w:t>£m</w:t>
            </w:r>
          </w:p>
        </w:tc>
        <w:tc>
          <w:tcPr>
            <w:tcW w:w="1500" w:type="dxa"/>
            <w:tcBorders>
              <w:top w:val="nil"/>
              <w:left w:val="nil"/>
              <w:bottom w:val="single" w:sz="4" w:space="0" w:color="auto"/>
              <w:right w:val="single" w:sz="4" w:space="0" w:color="auto"/>
            </w:tcBorders>
            <w:shd w:val="clear" w:color="000000" w:fill="D9D9D9"/>
            <w:vAlign w:val="bottom"/>
            <w:hideMark/>
          </w:tcPr>
          <w:p w14:paraId="5F9BB3FF" w14:textId="77777777" w:rsidR="00431B9C" w:rsidRPr="00B64B4F" w:rsidRDefault="00431B9C" w:rsidP="0049320F">
            <w:pPr>
              <w:autoSpaceDE/>
              <w:autoSpaceDN/>
              <w:adjustRightInd/>
              <w:spacing w:after="0"/>
              <w:rPr>
                <w:rFonts w:eastAsia="Times New Roman" w:cs="Arial"/>
                <w:b/>
                <w:bCs/>
                <w:sz w:val="20"/>
                <w:szCs w:val="20"/>
                <w:lang w:eastAsia="en-GB"/>
              </w:rPr>
            </w:pPr>
            <w:r w:rsidRPr="00B64B4F">
              <w:rPr>
                <w:rFonts w:eastAsia="Times New Roman" w:cs="Arial"/>
                <w:b/>
                <w:bCs/>
                <w:sz w:val="20"/>
                <w:szCs w:val="20"/>
                <w:lang w:eastAsia="en-GB"/>
              </w:rPr>
              <w:t>£m</w:t>
            </w:r>
          </w:p>
        </w:tc>
      </w:tr>
      <w:tr w:rsidR="00431B9C" w:rsidRPr="00B64B4F" w14:paraId="28C2552E" w14:textId="77777777" w:rsidTr="00431B9C">
        <w:trPr>
          <w:trHeight w:val="263"/>
        </w:trPr>
        <w:tc>
          <w:tcPr>
            <w:tcW w:w="869" w:type="dxa"/>
            <w:tcBorders>
              <w:top w:val="nil"/>
              <w:left w:val="single" w:sz="4" w:space="0" w:color="auto"/>
              <w:bottom w:val="single" w:sz="4" w:space="0" w:color="auto"/>
              <w:right w:val="single" w:sz="4" w:space="0" w:color="auto"/>
            </w:tcBorders>
            <w:shd w:val="clear" w:color="000000" w:fill="FFFFFF"/>
            <w:noWrap/>
            <w:hideMark/>
          </w:tcPr>
          <w:p w14:paraId="262CCA0F" w14:textId="56CD2B46" w:rsidR="00431B9C" w:rsidRPr="00B64B4F" w:rsidRDefault="00622590" w:rsidP="0049320F">
            <w:pPr>
              <w:autoSpaceDE/>
              <w:autoSpaceDN/>
              <w:adjustRightInd/>
              <w:spacing w:after="0"/>
              <w:rPr>
                <w:rFonts w:eastAsia="Times New Roman" w:cs="Arial"/>
                <w:b/>
                <w:bCs/>
                <w:sz w:val="20"/>
                <w:szCs w:val="20"/>
                <w:lang w:eastAsia="en-GB"/>
              </w:rPr>
            </w:pPr>
            <w:r>
              <w:rPr>
                <w:rFonts w:eastAsia="Times New Roman" w:cs="Arial"/>
                <w:b/>
                <w:bCs/>
                <w:sz w:val="20"/>
                <w:szCs w:val="20"/>
                <w:lang w:eastAsia="en-GB"/>
              </w:rPr>
              <w:t>3.6</w:t>
            </w:r>
            <w:r w:rsidR="00431B9C" w:rsidRPr="00B64B4F">
              <w:rPr>
                <w:rFonts w:eastAsia="Times New Roman" w:cs="Arial"/>
                <w:b/>
                <w:bCs/>
                <w:sz w:val="20"/>
                <w:szCs w:val="20"/>
                <w:lang w:eastAsia="en-GB"/>
              </w:rPr>
              <w:t>.1</w:t>
            </w:r>
          </w:p>
        </w:tc>
        <w:tc>
          <w:tcPr>
            <w:tcW w:w="4075" w:type="dxa"/>
            <w:tcBorders>
              <w:top w:val="nil"/>
              <w:left w:val="nil"/>
              <w:bottom w:val="single" w:sz="4" w:space="0" w:color="auto"/>
              <w:right w:val="single" w:sz="4" w:space="0" w:color="auto"/>
            </w:tcBorders>
            <w:shd w:val="clear" w:color="000000" w:fill="FFFFFF"/>
            <w:hideMark/>
          </w:tcPr>
          <w:p w14:paraId="1F506184" w14:textId="77777777" w:rsidR="00431B9C" w:rsidRPr="00B64B4F" w:rsidRDefault="00431B9C" w:rsidP="00A54E39">
            <w:pPr>
              <w:autoSpaceDE/>
              <w:autoSpaceDN/>
              <w:adjustRightInd/>
              <w:spacing w:after="0"/>
              <w:jc w:val="left"/>
              <w:rPr>
                <w:rFonts w:eastAsia="Times New Roman" w:cs="Arial"/>
                <w:sz w:val="20"/>
                <w:szCs w:val="20"/>
                <w:lang w:eastAsia="en-GB"/>
              </w:rPr>
            </w:pPr>
            <w:r>
              <w:rPr>
                <w:rFonts w:cs="Arial"/>
                <w:sz w:val="20"/>
                <w:szCs w:val="20"/>
              </w:rPr>
              <w:t>COMMISSIONING</w:t>
            </w:r>
          </w:p>
        </w:tc>
        <w:tc>
          <w:tcPr>
            <w:tcW w:w="1502" w:type="dxa"/>
            <w:tcBorders>
              <w:top w:val="nil"/>
              <w:left w:val="nil"/>
              <w:bottom w:val="single" w:sz="4" w:space="0" w:color="auto"/>
              <w:right w:val="single" w:sz="4" w:space="0" w:color="auto"/>
            </w:tcBorders>
            <w:shd w:val="clear" w:color="000000" w:fill="FFFFFF"/>
            <w:hideMark/>
          </w:tcPr>
          <w:p w14:paraId="69B9C40A" w14:textId="77777777" w:rsidR="00431B9C" w:rsidRPr="00B64B4F" w:rsidRDefault="00431B9C" w:rsidP="0049320F">
            <w:pPr>
              <w:autoSpaceDE/>
              <w:autoSpaceDN/>
              <w:adjustRightInd/>
              <w:spacing w:after="0"/>
              <w:rPr>
                <w:rFonts w:eastAsia="Times New Roman" w:cs="Arial"/>
                <w:sz w:val="20"/>
                <w:szCs w:val="20"/>
                <w:lang w:eastAsia="en-GB"/>
              </w:rPr>
            </w:pPr>
            <w:r>
              <w:rPr>
                <w:rFonts w:cs="Arial"/>
                <w:sz w:val="20"/>
                <w:szCs w:val="20"/>
              </w:rPr>
              <w:t xml:space="preserve">0.163 </w:t>
            </w:r>
          </w:p>
        </w:tc>
        <w:tc>
          <w:tcPr>
            <w:tcW w:w="1500" w:type="dxa"/>
            <w:tcBorders>
              <w:top w:val="nil"/>
              <w:left w:val="nil"/>
              <w:bottom w:val="single" w:sz="4" w:space="0" w:color="auto"/>
              <w:right w:val="single" w:sz="4" w:space="0" w:color="auto"/>
            </w:tcBorders>
            <w:shd w:val="clear" w:color="000000" w:fill="FFFFFF"/>
            <w:hideMark/>
          </w:tcPr>
          <w:p w14:paraId="16A2B197" w14:textId="77777777" w:rsidR="00431B9C" w:rsidRPr="00B64B4F" w:rsidRDefault="00431B9C" w:rsidP="0049320F">
            <w:pPr>
              <w:autoSpaceDE/>
              <w:autoSpaceDN/>
              <w:adjustRightInd/>
              <w:spacing w:after="0"/>
              <w:rPr>
                <w:rFonts w:eastAsia="Times New Roman" w:cs="Arial"/>
                <w:sz w:val="20"/>
                <w:szCs w:val="20"/>
                <w:lang w:eastAsia="en-GB"/>
              </w:rPr>
            </w:pPr>
            <w:r>
              <w:rPr>
                <w:rFonts w:cs="Arial"/>
                <w:sz w:val="20"/>
                <w:szCs w:val="20"/>
              </w:rPr>
              <w:t xml:space="preserve">0.163 </w:t>
            </w:r>
          </w:p>
        </w:tc>
        <w:tc>
          <w:tcPr>
            <w:tcW w:w="1500" w:type="dxa"/>
            <w:tcBorders>
              <w:top w:val="nil"/>
              <w:left w:val="nil"/>
              <w:bottom w:val="single" w:sz="4" w:space="0" w:color="auto"/>
              <w:right w:val="single" w:sz="4" w:space="0" w:color="auto"/>
            </w:tcBorders>
            <w:shd w:val="clear" w:color="000000" w:fill="FFFFFF"/>
            <w:hideMark/>
          </w:tcPr>
          <w:p w14:paraId="7A83AE4A" w14:textId="23E76421" w:rsidR="00431B9C" w:rsidRPr="00B64B4F" w:rsidRDefault="0010126B" w:rsidP="0049320F">
            <w:pPr>
              <w:autoSpaceDE/>
              <w:autoSpaceDN/>
              <w:adjustRightInd/>
              <w:spacing w:after="0"/>
              <w:rPr>
                <w:rFonts w:eastAsia="Times New Roman" w:cs="Arial"/>
                <w:sz w:val="20"/>
                <w:szCs w:val="20"/>
                <w:lang w:eastAsia="en-GB"/>
              </w:rPr>
            </w:pPr>
            <w:r>
              <w:rPr>
                <w:rFonts w:cs="Arial"/>
                <w:sz w:val="20"/>
                <w:szCs w:val="20"/>
              </w:rPr>
              <w:t>0</w:t>
            </w:r>
            <w:r w:rsidR="00431B9C">
              <w:rPr>
                <w:rFonts w:cs="Arial"/>
                <w:sz w:val="20"/>
                <w:szCs w:val="20"/>
              </w:rPr>
              <w:t xml:space="preserve">.000 </w:t>
            </w:r>
          </w:p>
        </w:tc>
      </w:tr>
      <w:tr w:rsidR="00431B9C" w:rsidRPr="00B64B4F" w14:paraId="4F03C2FB" w14:textId="77777777" w:rsidTr="00431B9C">
        <w:trPr>
          <w:trHeight w:val="263"/>
        </w:trPr>
        <w:tc>
          <w:tcPr>
            <w:tcW w:w="869" w:type="dxa"/>
            <w:tcBorders>
              <w:top w:val="nil"/>
              <w:left w:val="single" w:sz="4" w:space="0" w:color="auto"/>
              <w:bottom w:val="single" w:sz="4" w:space="0" w:color="auto"/>
              <w:right w:val="single" w:sz="4" w:space="0" w:color="auto"/>
            </w:tcBorders>
            <w:shd w:val="clear" w:color="000000" w:fill="FFFFFF"/>
            <w:noWrap/>
            <w:hideMark/>
          </w:tcPr>
          <w:p w14:paraId="424A88C6" w14:textId="2264F7CC" w:rsidR="00431B9C" w:rsidRPr="00B64B4F" w:rsidRDefault="00622590" w:rsidP="0049320F">
            <w:pPr>
              <w:autoSpaceDE/>
              <w:autoSpaceDN/>
              <w:adjustRightInd/>
              <w:spacing w:after="0"/>
              <w:rPr>
                <w:rFonts w:eastAsia="Times New Roman" w:cs="Arial"/>
                <w:b/>
                <w:bCs/>
                <w:sz w:val="20"/>
                <w:szCs w:val="20"/>
                <w:lang w:eastAsia="en-GB"/>
              </w:rPr>
            </w:pPr>
            <w:r>
              <w:rPr>
                <w:rFonts w:eastAsia="Times New Roman" w:cs="Arial"/>
                <w:b/>
                <w:bCs/>
                <w:sz w:val="20"/>
                <w:szCs w:val="20"/>
                <w:lang w:eastAsia="en-GB"/>
              </w:rPr>
              <w:t>3.6</w:t>
            </w:r>
            <w:r w:rsidR="00431B9C" w:rsidRPr="00B64B4F">
              <w:rPr>
                <w:rFonts w:eastAsia="Times New Roman" w:cs="Arial"/>
                <w:b/>
                <w:bCs/>
                <w:sz w:val="20"/>
                <w:szCs w:val="20"/>
                <w:lang w:eastAsia="en-GB"/>
              </w:rPr>
              <w:t>.2</w:t>
            </w:r>
          </w:p>
        </w:tc>
        <w:tc>
          <w:tcPr>
            <w:tcW w:w="4075" w:type="dxa"/>
            <w:tcBorders>
              <w:top w:val="nil"/>
              <w:left w:val="nil"/>
              <w:bottom w:val="single" w:sz="4" w:space="0" w:color="auto"/>
              <w:right w:val="single" w:sz="4" w:space="0" w:color="auto"/>
            </w:tcBorders>
            <w:shd w:val="clear" w:color="000000" w:fill="FFFFFF"/>
            <w:hideMark/>
          </w:tcPr>
          <w:p w14:paraId="406DDD36" w14:textId="77777777" w:rsidR="00431B9C" w:rsidRPr="00B64B4F" w:rsidRDefault="00431B9C" w:rsidP="00A54E39">
            <w:pPr>
              <w:autoSpaceDE/>
              <w:autoSpaceDN/>
              <w:adjustRightInd/>
              <w:spacing w:after="0"/>
              <w:jc w:val="left"/>
              <w:rPr>
                <w:rFonts w:eastAsia="Times New Roman" w:cs="Arial"/>
                <w:sz w:val="20"/>
                <w:szCs w:val="20"/>
                <w:lang w:eastAsia="en-GB"/>
              </w:rPr>
            </w:pPr>
            <w:r>
              <w:rPr>
                <w:rFonts w:cs="Arial"/>
                <w:sz w:val="20"/>
                <w:szCs w:val="20"/>
              </w:rPr>
              <w:t>CORPORATE COMMISSIONING</w:t>
            </w:r>
          </w:p>
        </w:tc>
        <w:tc>
          <w:tcPr>
            <w:tcW w:w="1502" w:type="dxa"/>
            <w:tcBorders>
              <w:top w:val="nil"/>
              <w:left w:val="nil"/>
              <w:bottom w:val="single" w:sz="4" w:space="0" w:color="auto"/>
              <w:right w:val="single" w:sz="4" w:space="0" w:color="auto"/>
            </w:tcBorders>
            <w:shd w:val="clear" w:color="000000" w:fill="FFFFFF"/>
            <w:hideMark/>
          </w:tcPr>
          <w:p w14:paraId="51CC2CD2" w14:textId="77777777" w:rsidR="00431B9C" w:rsidRPr="00B64B4F" w:rsidRDefault="00431B9C" w:rsidP="0049320F">
            <w:pPr>
              <w:autoSpaceDE/>
              <w:autoSpaceDN/>
              <w:adjustRightInd/>
              <w:spacing w:after="0"/>
              <w:rPr>
                <w:rFonts w:eastAsia="Times New Roman" w:cs="Arial"/>
                <w:sz w:val="20"/>
                <w:szCs w:val="20"/>
                <w:lang w:eastAsia="en-GB"/>
              </w:rPr>
            </w:pPr>
            <w:r>
              <w:rPr>
                <w:rFonts w:cs="Arial"/>
                <w:sz w:val="20"/>
                <w:szCs w:val="20"/>
              </w:rPr>
              <w:t xml:space="preserve">0.136 </w:t>
            </w:r>
          </w:p>
        </w:tc>
        <w:tc>
          <w:tcPr>
            <w:tcW w:w="1500" w:type="dxa"/>
            <w:tcBorders>
              <w:top w:val="nil"/>
              <w:left w:val="nil"/>
              <w:bottom w:val="single" w:sz="4" w:space="0" w:color="auto"/>
              <w:right w:val="single" w:sz="4" w:space="0" w:color="auto"/>
            </w:tcBorders>
            <w:shd w:val="clear" w:color="000000" w:fill="FFFFFF"/>
            <w:hideMark/>
          </w:tcPr>
          <w:p w14:paraId="20E043B7" w14:textId="77777777" w:rsidR="00431B9C" w:rsidRPr="00B64B4F" w:rsidRDefault="00431B9C" w:rsidP="0049320F">
            <w:pPr>
              <w:autoSpaceDE/>
              <w:autoSpaceDN/>
              <w:adjustRightInd/>
              <w:spacing w:after="0"/>
              <w:rPr>
                <w:rFonts w:eastAsia="Times New Roman" w:cs="Arial"/>
                <w:sz w:val="20"/>
                <w:szCs w:val="20"/>
                <w:lang w:eastAsia="en-GB"/>
              </w:rPr>
            </w:pPr>
            <w:r>
              <w:rPr>
                <w:rFonts w:cs="Arial"/>
                <w:sz w:val="20"/>
                <w:szCs w:val="20"/>
              </w:rPr>
              <w:t xml:space="preserve">0.136 </w:t>
            </w:r>
          </w:p>
        </w:tc>
        <w:tc>
          <w:tcPr>
            <w:tcW w:w="1500" w:type="dxa"/>
            <w:tcBorders>
              <w:top w:val="nil"/>
              <w:left w:val="nil"/>
              <w:bottom w:val="single" w:sz="4" w:space="0" w:color="auto"/>
              <w:right w:val="single" w:sz="4" w:space="0" w:color="auto"/>
            </w:tcBorders>
            <w:shd w:val="clear" w:color="000000" w:fill="FFFFFF"/>
            <w:hideMark/>
          </w:tcPr>
          <w:p w14:paraId="56928BA3" w14:textId="77777777" w:rsidR="00431B9C" w:rsidRPr="00B64B4F" w:rsidRDefault="00431B9C" w:rsidP="0049320F">
            <w:pPr>
              <w:autoSpaceDE/>
              <w:autoSpaceDN/>
              <w:adjustRightInd/>
              <w:spacing w:after="0"/>
              <w:rPr>
                <w:rFonts w:eastAsia="Times New Roman" w:cs="Arial"/>
                <w:sz w:val="20"/>
                <w:szCs w:val="20"/>
                <w:lang w:eastAsia="en-GB"/>
              </w:rPr>
            </w:pPr>
            <w:r>
              <w:rPr>
                <w:rFonts w:cs="Arial"/>
                <w:sz w:val="20"/>
                <w:szCs w:val="20"/>
              </w:rPr>
              <w:t xml:space="preserve">0.000 </w:t>
            </w:r>
          </w:p>
        </w:tc>
      </w:tr>
      <w:tr w:rsidR="00431B9C" w:rsidRPr="00B64B4F" w14:paraId="4B0FF948" w14:textId="77777777" w:rsidTr="00431B9C">
        <w:trPr>
          <w:trHeight w:val="263"/>
        </w:trPr>
        <w:tc>
          <w:tcPr>
            <w:tcW w:w="869" w:type="dxa"/>
            <w:tcBorders>
              <w:top w:val="nil"/>
              <w:left w:val="single" w:sz="4" w:space="0" w:color="auto"/>
              <w:bottom w:val="single" w:sz="4" w:space="0" w:color="auto"/>
              <w:right w:val="single" w:sz="4" w:space="0" w:color="auto"/>
            </w:tcBorders>
            <w:shd w:val="clear" w:color="000000" w:fill="FFFFFF"/>
            <w:noWrap/>
            <w:hideMark/>
          </w:tcPr>
          <w:p w14:paraId="5E5BFE0F" w14:textId="3AB1AC8D" w:rsidR="00431B9C" w:rsidRPr="00B64B4F" w:rsidRDefault="00622590" w:rsidP="0049320F">
            <w:pPr>
              <w:autoSpaceDE/>
              <w:autoSpaceDN/>
              <w:adjustRightInd/>
              <w:spacing w:after="0"/>
              <w:rPr>
                <w:rFonts w:eastAsia="Times New Roman" w:cs="Arial"/>
                <w:b/>
                <w:bCs/>
                <w:sz w:val="20"/>
                <w:szCs w:val="20"/>
                <w:lang w:eastAsia="en-GB"/>
              </w:rPr>
            </w:pPr>
            <w:r>
              <w:rPr>
                <w:rFonts w:eastAsia="Times New Roman" w:cs="Arial"/>
                <w:b/>
                <w:bCs/>
                <w:sz w:val="20"/>
                <w:szCs w:val="20"/>
                <w:lang w:eastAsia="en-GB"/>
              </w:rPr>
              <w:t>3.6</w:t>
            </w:r>
            <w:r w:rsidR="00431B9C" w:rsidRPr="00B64B4F">
              <w:rPr>
                <w:rFonts w:eastAsia="Times New Roman" w:cs="Arial"/>
                <w:b/>
                <w:bCs/>
                <w:sz w:val="20"/>
                <w:szCs w:val="20"/>
                <w:lang w:eastAsia="en-GB"/>
              </w:rPr>
              <w:t>.3</w:t>
            </w:r>
          </w:p>
        </w:tc>
        <w:tc>
          <w:tcPr>
            <w:tcW w:w="4075" w:type="dxa"/>
            <w:tcBorders>
              <w:top w:val="nil"/>
              <w:left w:val="nil"/>
              <w:bottom w:val="single" w:sz="4" w:space="0" w:color="auto"/>
              <w:right w:val="single" w:sz="4" w:space="0" w:color="auto"/>
            </w:tcBorders>
            <w:shd w:val="clear" w:color="000000" w:fill="FFFFFF"/>
            <w:hideMark/>
          </w:tcPr>
          <w:p w14:paraId="0A2E6E5A" w14:textId="77777777" w:rsidR="00431B9C" w:rsidRPr="00B64B4F" w:rsidRDefault="00431B9C" w:rsidP="00A54E39">
            <w:pPr>
              <w:autoSpaceDE/>
              <w:autoSpaceDN/>
              <w:adjustRightInd/>
              <w:spacing w:after="0"/>
              <w:jc w:val="left"/>
              <w:rPr>
                <w:rFonts w:eastAsia="Times New Roman" w:cs="Arial"/>
                <w:sz w:val="20"/>
                <w:szCs w:val="20"/>
                <w:lang w:eastAsia="en-GB"/>
              </w:rPr>
            </w:pPr>
            <w:r>
              <w:rPr>
                <w:rFonts w:cs="Arial"/>
                <w:sz w:val="20"/>
                <w:szCs w:val="20"/>
              </w:rPr>
              <w:t>ASSET MGT</w:t>
            </w:r>
          </w:p>
        </w:tc>
        <w:tc>
          <w:tcPr>
            <w:tcW w:w="1502" w:type="dxa"/>
            <w:tcBorders>
              <w:top w:val="nil"/>
              <w:left w:val="nil"/>
              <w:bottom w:val="single" w:sz="4" w:space="0" w:color="auto"/>
              <w:right w:val="single" w:sz="4" w:space="0" w:color="auto"/>
            </w:tcBorders>
            <w:shd w:val="clear" w:color="000000" w:fill="FFFFFF"/>
            <w:hideMark/>
          </w:tcPr>
          <w:p w14:paraId="324C3190" w14:textId="77777777" w:rsidR="00431B9C" w:rsidRPr="00B64B4F" w:rsidRDefault="00431B9C" w:rsidP="0049320F">
            <w:pPr>
              <w:autoSpaceDE/>
              <w:autoSpaceDN/>
              <w:adjustRightInd/>
              <w:spacing w:after="0"/>
              <w:rPr>
                <w:rFonts w:eastAsia="Times New Roman" w:cs="Arial"/>
                <w:sz w:val="20"/>
                <w:szCs w:val="20"/>
                <w:lang w:eastAsia="en-GB"/>
              </w:rPr>
            </w:pPr>
            <w:r>
              <w:rPr>
                <w:rFonts w:cs="Arial"/>
                <w:sz w:val="20"/>
                <w:szCs w:val="20"/>
              </w:rPr>
              <w:t xml:space="preserve">10.838 </w:t>
            </w:r>
          </w:p>
        </w:tc>
        <w:tc>
          <w:tcPr>
            <w:tcW w:w="1500" w:type="dxa"/>
            <w:tcBorders>
              <w:top w:val="nil"/>
              <w:left w:val="nil"/>
              <w:bottom w:val="single" w:sz="4" w:space="0" w:color="auto"/>
              <w:right w:val="single" w:sz="4" w:space="0" w:color="auto"/>
            </w:tcBorders>
            <w:shd w:val="clear" w:color="000000" w:fill="FFFFFF"/>
            <w:hideMark/>
          </w:tcPr>
          <w:p w14:paraId="30162400" w14:textId="77777777" w:rsidR="00431B9C" w:rsidRPr="00B64B4F" w:rsidRDefault="00431B9C" w:rsidP="0049320F">
            <w:pPr>
              <w:autoSpaceDE/>
              <w:autoSpaceDN/>
              <w:adjustRightInd/>
              <w:spacing w:after="0"/>
              <w:rPr>
                <w:rFonts w:eastAsia="Times New Roman" w:cs="Arial"/>
                <w:sz w:val="20"/>
                <w:szCs w:val="20"/>
                <w:lang w:eastAsia="en-GB"/>
              </w:rPr>
            </w:pPr>
            <w:r>
              <w:rPr>
                <w:rFonts w:cs="Arial"/>
                <w:sz w:val="20"/>
                <w:szCs w:val="20"/>
              </w:rPr>
              <w:t xml:space="preserve">10.838 </w:t>
            </w:r>
          </w:p>
        </w:tc>
        <w:tc>
          <w:tcPr>
            <w:tcW w:w="1500" w:type="dxa"/>
            <w:tcBorders>
              <w:top w:val="nil"/>
              <w:left w:val="nil"/>
              <w:bottom w:val="single" w:sz="4" w:space="0" w:color="auto"/>
              <w:right w:val="single" w:sz="4" w:space="0" w:color="auto"/>
            </w:tcBorders>
            <w:shd w:val="clear" w:color="000000" w:fill="FFFFFF"/>
            <w:hideMark/>
          </w:tcPr>
          <w:p w14:paraId="5C6FE0CD" w14:textId="77777777" w:rsidR="00431B9C" w:rsidRPr="00B64B4F" w:rsidRDefault="00431B9C" w:rsidP="0049320F">
            <w:pPr>
              <w:autoSpaceDE/>
              <w:autoSpaceDN/>
              <w:adjustRightInd/>
              <w:spacing w:after="0"/>
              <w:rPr>
                <w:rFonts w:eastAsia="Times New Roman" w:cs="Arial"/>
                <w:sz w:val="20"/>
                <w:szCs w:val="20"/>
                <w:lang w:eastAsia="en-GB"/>
              </w:rPr>
            </w:pPr>
            <w:r>
              <w:rPr>
                <w:rFonts w:cs="Arial"/>
                <w:sz w:val="20"/>
                <w:szCs w:val="20"/>
              </w:rPr>
              <w:t xml:space="preserve">0.000 </w:t>
            </w:r>
          </w:p>
        </w:tc>
      </w:tr>
      <w:tr w:rsidR="00431B9C" w:rsidRPr="00B64B4F" w14:paraId="3DA5CA2F" w14:textId="77777777" w:rsidTr="00431B9C">
        <w:trPr>
          <w:trHeight w:val="263"/>
        </w:trPr>
        <w:tc>
          <w:tcPr>
            <w:tcW w:w="869" w:type="dxa"/>
            <w:tcBorders>
              <w:top w:val="nil"/>
              <w:left w:val="single" w:sz="4" w:space="0" w:color="auto"/>
              <w:bottom w:val="single" w:sz="4" w:space="0" w:color="auto"/>
              <w:right w:val="single" w:sz="4" w:space="0" w:color="auto"/>
            </w:tcBorders>
            <w:shd w:val="clear" w:color="000000" w:fill="FFFFFF"/>
            <w:noWrap/>
            <w:hideMark/>
          </w:tcPr>
          <w:p w14:paraId="3EDB0CB5" w14:textId="18EE7DED" w:rsidR="00431B9C" w:rsidRPr="00B64B4F" w:rsidRDefault="00622590" w:rsidP="0049320F">
            <w:pPr>
              <w:autoSpaceDE/>
              <w:autoSpaceDN/>
              <w:adjustRightInd/>
              <w:spacing w:after="0"/>
              <w:rPr>
                <w:rFonts w:eastAsia="Times New Roman" w:cs="Arial"/>
                <w:b/>
                <w:bCs/>
                <w:sz w:val="20"/>
                <w:szCs w:val="20"/>
                <w:lang w:eastAsia="en-GB"/>
              </w:rPr>
            </w:pPr>
            <w:r>
              <w:rPr>
                <w:rFonts w:eastAsia="Times New Roman" w:cs="Arial"/>
                <w:b/>
                <w:bCs/>
                <w:sz w:val="20"/>
                <w:szCs w:val="20"/>
                <w:lang w:eastAsia="en-GB"/>
              </w:rPr>
              <w:t>3.6</w:t>
            </w:r>
            <w:r w:rsidR="00431B9C" w:rsidRPr="00B64B4F">
              <w:rPr>
                <w:rFonts w:eastAsia="Times New Roman" w:cs="Arial"/>
                <w:b/>
                <w:bCs/>
                <w:sz w:val="20"/>
                <w:szCs w:val="20"/>
                <w:lang w:eastAsia="en-GB"/>
              </w:rPr>
              <w:t>.4</w:t>
            </w:r>
          </w:p>
        </w:tc>
        <w:tc>
          <w:tcPr>
            <w:tcW w:w="4075" w:type="dxa"/>
            <w:tcBorders>
              <w:top w:val="nil"/>
              <w:left w:val="nil"/>
              <w:bottom w:val="single" w:sz="4" w:space="0" w:color="auto"/>
              <w:right w:val="single" w:sz="4" w:space="0" w:color="auto"/>
            </w:tcBorders>
            <w:shd w:val="clear" w:color="000000" w:fill="FFFFFF"/>
            <w:hideMark/>
          </w:tcPr>
          <w:p w14:paraId="74835584" w14:textId="77777777" w:rsidR="00431B9C" w:rsidRPr="00B64B4F" w:rsidRDefault="00431B9C" w:rsidP="00A54E39">
            <w:pPr>
              <w:autoSpaceDE/>
              <w:autoSpaceDN/>
              <w:adjustRightInd/>
              <w:spacing w:after="0"/>
              <w:jc w:val="left"/>
              <w:rPr>
                <w:rFonts w:eastAsia="Times New Roman" w:cs="Arial"/>
                <w:sz w:val="20"/>
                <w:szCs w:val="20"/>
                <w:lang w:eastAsia="en-GB"/>
              </w:rPr>
            </w:pPr>
            <w:r>
              <w:rPr>
                <w:rFonts w:cs="Arial"/>
                <w:sz w:val="20"/>
                <w:szCs w:val="20"/>
              </w:rPr>
              <w:t>POLICY INFO    &amp; COMMISSION AGE WELL</w:t>
            </w:r>
          </w:p>
        </w:tc>
        <w:tc>
          <w:tcPr>
            <w:tcW w:w="1502" w:type="dxa"/>
            <w:tcBorders>
              <w:top w:val="nil"/>
              <w:left w:val="nil"/>
              <w:bottom w:val="single" w:sz="4" w:space="0" w:color="auto"/>
              <w:right w:val="single" w:sz="4" w:space="0" w:color="auto"/>
            </w:tcBorders>
            <w:shd w:val="clear" w:color="000000" w:fill="FFFFFF"/>
            <w:hideMark/>
          </w:tcPr>
          <w:p w14:paraId="6D749A04" w14:textId="77777777" w:rsidR="00431B9C" w:rsidRPr="00B64B4F" w:rsidRDefault="00431B9C" w:rsidP="0049320F">
            <w:pPr>
              <w:autoSpaceDE/>
              <w:autoSpaceDN/>
              <w:adjustRightInd/>
              <w:spacing w:after="0"/>
              <w:rPr>
                <w:rFonts w:eastAsia="Times New Roman" w:cs="Arial"/>
                <w:sz w:val="20"/>
                <w:szCs w:val="20"/>
                <w:lang w:eastAsia="en-GB"/>
              </w:rPr>
            </w:pPr>
            <w:r>
              <w:rPr>
                <w:rFonts w:cs="Arial"/>
                <w:sz w:val="20"/>
                <w:szCs w:val="20"/>
              </w:rPr>
              <w:t xml:space="preserve">0.528 </w:t>
            </w:r>
          </w:p>
        </w:tc>
        <w:tc>
          <w:tcPr>
            <w:tcW w:w="1500" w:type="dxa"/>
            <w:tcBorders>
              <w:top w:val="nil"/>
              <w:left w:val="nil"/>
              <w:bottom w:val="single" w:sz="4" w:space="0" w:color="auto"/>
              <w:right w:val="single" w:sz="4" w:space="0" w:color="auto"/>
            </w:tcBorders>
            <w:shd w:val="clear" w:color="000000" w:fill="FFFFFF"/>
            <w:hideMark/>
          </w:tcPr>
          <w:p w14:paraId="2D458F67" w14:textId="77777777" w:rsidR="00431B9C" w:rsidRPr="00B64B4F" w:rsidRDefault="00431B9C" w:rsidP="0049320F">
            <w:pPr>
              <w:autoSpaceDE/>
              <w:autoSpaceDN/>
              <w:adjustRightInd/>
              <w:spacing w:after="0"/>
              <w:rPr>
                <w:rFonts w:eastAsia="Times New Roman" w:cs="Arial"/>
                <w:sz w:val="20"/>
                <w:szCs w:val="20"/>
                <w:lang w:eastAsia="en-GB"/>
              </w:rPr>
            </w:pPr>
            <w:r>
              <w:rPr>
                <w:rFonts w:cs="Arial"/>
                <w:sz w:val="20"/>
                <w:szCs w:val="20"/>
              </w:rPr>
              <w:t xml:space="preserve">0.528 </w:t>
            </w:r>
          </w:p>
        </w:tc>
        <w:tc>
          <w:tcPr>
            <w:tcW w:w="1500" w:type="dxa"/>
            <w:tcBorders>
              <w:top w:val="nil"/>
              <w:left w:val="nil"/>
              <w:bottom w:val="single" w:sz="4" w:space="0" w:color="auto"/>
              <w:right w:val="single" w:sz="4" w:space="0" w:color="auto"/>
            </w:tcBorders>
            <w:shd w:val="clear" w:color="000000" w:fill="FFFFFF"/>
            <w:hideMark/>
          </w:tcPr>
          <w:p w14:paraId="609B374F" w14:textId="77777777" w:rsidR="00431B9C" w:rsidRPr="00B64B4F" w:rsidRDefault="00431B9C" w:rsidP="0049320F">
            <w:pPr>
              <w:autoSpaceDE/>
              <w:autoSpaceDN/>
              <w:adjustRightInd/>
              <w:spacing w:after="0"/>
              <w:rPr>
                <w:rFonts w:eastAsia="Times New Roman" w:cs="Arial"/>
                <w:sz w:val="20"/>
                <w:szCs w:val="20"/>
                <w:lang w:eastAsia="en-GB"/>
              </w:rPr>
            </w:pPr>
            <w:r>
              <w:rPr>
                <w:rFonts w:cs="Arial"/>
                <w:sz w:val="20"/>
                <w:szCs w:val="20"/>
              </w:rPr>
              <w:t xml:space="preserve">0.000 </w:t>
            </w:r>
          </w:p>
        </w:tc>
      </w:tr>
      <w:tr w:rsidR="00431B9C" w:rsidRPr="00B64B4F" w14:paraId="0739E7E6" w14:textId="77777777" w:rsidTr="00431B9C">
        <w:trPr>
          <w:trHeight w:val="263"/>
        </w:trPr>
        <w:tc>
          <w:tcPr>
            <w:tcW w:w="869" w:type="dxa"/>
            <w:tcBorders>
              <w:top w:val="nil"/>
              <w:left w:val="single" w:sz="4" w:space="0" w:color="auto"/>
              <w:bottom w:val="single" w:sz="4" w:space="0" w:color="auto"/>
              <w:right w:val="single" w:sz="4" w:space="0" w:color="auto"/>
            </w:tcBorders>
            <w:shd w:val="clear" w:color="000000" w:fill="FFFFFF"/>
            <w:noWrap/>
            <w:hideMark/>
          </w:tcPr>
          <w:p w14:paraId="1C4A49EA" w14:textId="0BD2DF28" w:rsidR="00431B9C" w:rsidRPr="00B64B4F" w:rsidRDefault="00622590" w:rsidP="0049320F">
            <w:pPr>
              <w:autoSpaceDE/>
              <w:autoSpaceDN/>
              <w:adjustRightInd/>
              <w:spacing w:after="0"/>
              <w:rPr>
                <w:rFonts w:eastAsia="Times New Roman" w:cs="Arial"/>
                <w:b/>
                <w:bCs/>
                <w:sz w:val="20"/>
                <w:szCs w:val="20"/>
                <w:lang w:eastAsia="en-GB"/>
              </w:rPr>
            </w:pPr>
            <w:r>
              <w:rPr>
                <w:rFonts w:eastAsia="Times New Roman" w:cs="Arial"/>
                <w:b/>
                <w:bCs/>
                <w:sz w:val="20"/>
                <w:szCs w:val="20"/>
                <w:lang w:eastAsia="en-GB"/>
              </w:rPr>
              <w:t>3.6</w:t>
            </w:r>
            <w:r w:rsidR="00431B9C" w:rsidRPr="00B64B4F">
              <w:rPr>
                <w:rFonts w:eastAsia="Times New Roman" w:cs="Arial"/>
                <w:b/>
                <w:bCs/>
                <w:sz w:val="20"/>
                <w:szCs w:val="20"/>
                <w:lang w:eastAsia="en-GB"/>
              </w:rPr>
              <w:t>.5</w:t>
            </w:r>
          </w:p>
        </w:tc>
        <w:tc>
          <w:tcPr>
            <w:tcW w:w="4075" w:type="dxa"/>
            <w:tcBorders>
              <w:top w:val="nil"/>
              <w:left w:val="nil"/>
              <w:bottom w:val="single" w:sz="4" w:space="0" w:color="auto"/>
              <w:right w:val="single" w:sz="4" w:space="0" w:color="auto"/>
            </w:tcBorders>
            <w:shd w:val="clear" w:color="000000" w:fill="FFFFFF"/>
            <w:hideMark/>
          </w:tcPr>
          <w:p w14:paraId="69024B81" w14:textId="77777777" w:rsidR="00431B9C" w:rsidRPr="00B64B4F" w:rsidRDefault="00431B9C" w:rsidP="00A54E39">
            <w:pPr>
              <w:autoSpaceDE/>
              <w:autoSpaceDN/>
              <w:adjustRightInd/>
              <w:spacing w:after="0"/>
              <w:jc w:val="left"/>
              <w:rPr>
                <w:rFonts w:eastAsia="Times New Roman" w:cs="Arial"/>
                <w:sz w:val="20"/>
                <w:szCs w:val="20"/>
                <w:lang w:eastAsia="en-GB"/>
              </w:rPr>
            </w:pPr>
            <w:r>
              <w:rPr>
                <w:rFonts w:cs="Arial"/>
                <w:sz w:val="20"/>
                <w:szCs w:val="20"/>
              </w:rPr>
              <w:t>POLICY  INFO    &amp; COMMISSION LIVE WELL</w:t>
            </w:r>
          </w:p>
        </w:tc>
        <w:tc>
          <w:tcPr>
            <w:tcW w:w="1502" w:type="dxa"/>
            <w:tcBorders>
              <w:top w:val="nil"/>
              <w:left w:val="nil"/>
              <w:bottom w:val="single" w:sz="4" w:space="0" w:color="auto"/>
              <w:right w:val="single" w:sz="4" w:space="0" w:color="auto"/>
            </w:tcBorders>
            <w:shd w:val="clear" w:color="000000" w:fill="FFFFFF"/>
            <w:hideMark/>
          </w:tcPr>
          <w:p w14:paraId="1817883B" w14:textId="77777777" w:rsidR="00431B9C" w:rsidRPr="00B64B4F" w:rsidRDefault="00431B9C" w:rsidP="0049320F">
            <w:pPr>
              <w:autoSpaceDE/>
              <w:autoSpaceDN/>
              <w:adjustRightInd/>
              <w:spacing w:after="0"/>
              <w:rPr>
                <w:rFonts w:eastAsia="Times New Roman" w:cs="Arial"/>
                <w:sz w:val="20"/>
                <w:szCs w:val="20"/>
                <w:lang w:eastAsia="en-GB"/>
              </w:rPr>
            </w:pPr>
            <w:r>
              <w:rPr>
                <w:rFonts w:cs="Arial"/>
                <w:sz w:val="20"/>
                <w:szCs w:val="20"/>
              </w:rPr>
              <w:t xml:space="preserve">0.506 </w:t>
            </w:r>
          </w:p>
        </w:tc>
        <w:tc>
          <w:tcPr>
            <w:tcW w:w="1500" w:type="dxa"/>
            <w:tcBorders>
              <w:top w:val="nil"/>
              <w:left w:val="nil"/>
              <w:bottom w:val="single" w:sz="4" w:space="0" w:color="auto"/>
              <w:right w:val="single" w:sz="4" w:space="0" w:color="auto"/>
            </w:tcBorders>
            <w:shd w:val="clear" w:color="000000" w:fill="FFFFFF"/>
            <w:hideMark/>
          </w:tcPr>
          <w:p w14:paraId="59D1F648" w14:textId="77777777" w:rsidR="00431B9C" w:rsidRPr="00B64B4F" w:rsidRDefault="00431B9C" w:rsidP="0049320F">
            <w:pPr>
              <w:autoSpaceDE/>
              <w:autoSpaceDN/>
              <w:adjustRightInd/>
              <w:spacing w:after="0"/>
              <w:rPr>
                <w:rFonts w:eastAsia="Times New Roman" w:cs="Arial"/>
                <w:sz w:val="20"/>
                <w:szCs w:val="20"/>
                <w:lang w:eastAsia="en-GB"/>
              </w:rPr>
            </w:pPr>
            <w:r>
              <w:rPr>
                <w:rFonts w:cs="Arial"/>
                <w:sz w:val="20"/>
                <w:szCs w:val="20"/>
              </w:rPr>
              <w:t xml:space="preserve">0.506 </w:t>
            </w:r>
          </w:p>
        </w:tc>
        <w:tc>
          <w:tcPr>
            <w:tcW w:w="1500" w:type="dxa"/>
            <w:tcBorders>
              <w:top w:val="nil"/>
              <w:left w:val="nil"/>
              <w:bottom w:val="single" w:sz="4" w:space="0" w:color="auto"/>
              <w:right w:val="single" w:sz="4" w:space="0" w:color="auto"/>
            </w:tcBorders>
            <w:shd w:val="clear" w:color="000000" w:fill="FFFFFF"/>
            <w:hideMark/>
          </w:tcPr>
          <w:p w14:paraId="66E2007F" w14:textId="77777777" w:rsidR="00431B9C" w:rsidRPr="00B64B4F" w:rsidRDefault="00431B9C" w:rsidP="0049320F">
            <w:pPr>
              <w:autoSpaceDE/>
              <w:autoSpaceDN/>
              <w:adjustRightInd/>
              <w:spacing w:after="0"/>
              <w:rPr>
                <w:rFonts w:eastAsia="Times New Roman" w:cs="Arial"/>
                <w:sz w:val="20"/>
                <w:szCs w:val="20"/>
                <w:lang w:eastAsia="en-GB"/>
              </w:rPr>
            </w:pPr>
            <w:r>
              <w:rPr>
                <w:rFonts w:cs="Arial"/>
                <w:sz w:val="20"/>
                <w:szCs w:val="20"/>
              </w:rPr>
              <w:t xml:space="preserve">0.000 </w:t>
            </w:r>
          </w:p>
        </w:tc>
      </w:tr>
      <w:tr w:rsidR="00431B9C" w:rsidRPr="00B64B4F" w14:paraId="025E85DE" w14:textId="77777777" w:rsidTr="00431B9C">
        <w:trPr>
          <w:trHeight w:val="527"/>
        </w:trPr>
        <w:tc>
          <w:tcPr>
            <w:tcW w:w="869" w:type="dxa"/>
            <w:tcBorders>
              <w:top w:val="nil"/>
              <w:left w:val="single" w:sz="4" w:space="0" w:color="auto"/>
              <w:bottom w:val="single" w:sz="4" w:space="0" w:color="auto"/>
              <w:right w:val="single" w:sz="4" w:space="0" w:color="auto"/>
            </w:tcBorders>
            <w:shd w:val="clear" w:color="000000" w:fill="FFFFFF"/>
            <w:noWrap/>
            <w:hideMark/>
          </w:tcPr>
          <w:p w14:paraId="53821B46" w14:textId="0FAE7CF2" w:rsidR="00431B9C" w:rsidRPr="00B64B4F" w:rsidRDefault="00622590" w:rsidP="0049320F">
            <w:pPr>
              <w:autoSpaceDE/>
              <w:autoSpaceDN/>
              <w:adjustRightInd/>
              <w:spacing w:after="0"/>
              <w:rPr>
                <w:rFonts w:eastAsia="Times New Roman" w:cs="Arial"/>
                <w:b/>
                <w:bCs/>
                <w:sz w:val="20"/>
                <w:szCs w:val="20"/>
                <w:lang w:eastAsia="en-GB"/>
              </w:rPr>
            </w:pPr>
            <w:r>
              <w:rPr>
                <w:rFonts w:eastAsia="Times New Roman" w:cs="Arial"/>
                <w:b/>
                <w:bCs/>
                <w:sz w:val="20"/>
                <w:szCs w:val="20"/>
                <w:lang w:eastAsia="en-GB"/>
              </w:rPr>
              <w:t>3.6</w:t>
            </w:r>
            <w:r w:rsidR="00431B9C" w:rsidRPr="00B64B4F">
              <w:rPr>
                <w:rFonts w:eastAsia="Times New Roman" w:cs="Arial"/>
                <w:b/>
                <w:bCs/>
                <w:sz w:val="20"/>
                <w:szCs w:val="20"/>
                <w:lang w:eastAsia="en-GB"/>
              </w:rPr>
              <w:t>.6</w:t>
            </w:r>
          </w:p>
        </w:tc>
        <w:tc>
          <w:tcPr>
            <w:tcW w:w="4075" w:type="dxa"/>
            <w:tcBorders>
              <w:top w:val="nil"/>
              <w:left w:val="nil"/>
              <w:bottom w:val="single" w:sz="4" w:space="0" w:color="auto"/>
              <w:right w:val="single" w:sz="4" w:space="0" w:color="auto"/>
            </w:tcBorders>
            <w:shd w:val="clear" w:color="000000" w:fill="FFFFFF"/>
            <w:hideMark/>
          </w:tcPr>
          <w:p w14:paraId="415D3987" w14:textId="77777777" w:rsidR="00431B9C" w:rsidRPr="00B64B4F" w:rsidRDefault="00431B9C" w:rsidP="00A54E39">
            <w:pPr>
              <w:autoSpaceDE/>
              <w:autoSpaceDN/>
              <w:adjustRightInd/>
              <w:spacing w:after="0"/>
              <w:jc w:val="left"/>
              <w:rPr>
                <w:rFonts w:eastAsia="Times New Roman" w:cs="Arial"/>
                <w:sz w:val="20"/>
                <w:szCs w:val="20"/>
                <w:lang w:eastAsia="en-GB"/>
              </w:rPr>
            </w:pPr>
            <w:r>
              <w:rPr>
                <w:rFonts w:cs="Arial"/>
                <w:sz w:val="20"/>
                <w:szCs w:val="20"/>
              </w:rPr>
              <w:t>POLICY INFO  &amp; COMMISSION START WELL</w:t>
            </w:r>
          </w:p>
        </w:tc>
        <w:tc>
          <w:tcPr>
            <w:tcW w:w="1502" w:type="dxa"/>
            <w:tcBorders>
              <w:top w:val="nil"/>
              <w:left w:val="nil"/>
              <w:bottom w:val="single" w:sz="4" w:space="0" w:color="auto"/>
              <w:right w:val="single" w:sz="4" w:space="0" w:color="auto"/>
            </w:tcBorders>
            <w:shd w:val="clear" w:color="000000" w:fill="FFFFFF"/>
            <w:hideMark/>
          </w:tcPr>
          <w:p w14:paraId="3074B581" w14:textId="77777777" w:rsidR="00431B9C" w:rsidRPr="00B64B4F" w:rsidRDefault="00431B9C" w:rsidP="0049320F">
            <w:pPr>
              <w:autoSpaceDE/>
              <w:autoSpaceDN/>
              <w:adjustRightInd/>
              <w:spacing w:after="0"/>
              <w:rPr>
                <w:rFonts w:eastAsia="Times New Roman" w:cs="Arial"/>
                <w:sz w:val="20"/>
                <w:szCs w:val="20"/>
                <w:lang w:eastAsia="en-GB"/>
              </w:rPr>
            </w:pPr>
            <w:r>
              <w:rPr>
                <w:rFonts w:cs="Arial"/>
                <w:sz w:val="20"/>
                <w:szCs w:val="20"/>
              </w:rPr>
              <w:t xml:space="preserve">0.432 </w:t>
            </w:r>
          </w:p>
        </w:tc>
        <w:tc>
          <w:tcPr>
            <w:tcW w:w="1500" w:type="dxa"/>
            <w:tcBorders>
              <w:top w:val="nil"/>
              <w:left w:val="nil"/>
              <w:bottom w:val="single" w:sz="4" w:space="0" w:color="auto"/>
              <w:right w:val="single" w:sz="4" w:space="0" w:color="auto"/>
            </w:tcBorders>
            <w:shd w:val="clear" w:color="000000" w:fill="FFFFFF"/>
            <w:hideMark/>
          </w:tcPr>
          <w:p w14:paraId="0863D7F4" w14:textId="77777777" w:rsidR="00431B9C" w:rsidRPr="00B64B4F" w:rsidRDefault="00431B9C" w:rsidP="0049320F">
            <w:pPr>
              <w:autoSpaceDE/>
              <w:autoSpaceDN/>
              <w:adjustRightInd/>
              <w:spacing w:after="0"/>
              <w:rPr>
                <w:rFonts w:eastAsia="Times New Roman" w:cs="Arial"/>
                <w:sz w:val="20"/>
                <w:szCs w:val="20"/>
                <w:lang w:eastAsia="en-GB"/>
              </w:rPr>
            </w:pPr>
            <w:r>
              <w:rPr>
                <w:rFonts w:cs="Arial"/>
                <w:sz w:val="20"/>
                <w:szCs w:val="20"/>
              </w:rPr>
              <w:t xml:space="preserve">0.432 </w:t>
            </w:r>
          </w:p>
        </w:tc>
        <w:tc>
          <w:tcPr>
            <w:tcW w:w="1500" w:type="dxa"/>
            <w:tcBorders>
              <w:top w:val="nil"/>
              <w:left w:val="nil"/>
              <w:bottom w:val="single" w:sz="4" w:space="0" w:color="auto"/>
              <w:right w:val="single" w:sz="4" w:space="0" w:color="auto"/>
            </w:tcBorders>
            <w:shd w:val="clear" w:color="000000" w:fill="FFFFFF"/>
            <w:hideMark/>
          </w:tcPr>
          <w:p w14:paraId="7960670E" w14:textId="77777777" w:rsidR="00431B9C" w:rsidRPr="00B64B4F" w:rsidRDefault="00431B9C" w:rsidP="0049320F">
            <w:pPr>
              <w:autoSpaceDE/>
              <w:autoSpaceDN/>
              <w:adjustRightInd/>
              <w:spacing w:after="0"/>
              <w:rPr>
                <w:rFonts w:eastAsia="Times New Roman" w:cs="Arial"/>
                <w:sz w:val="20"/>
                <w:szCs w:val="20"/>
                <w:lang w:eastAsia="en-GB"/>
              </w:rPr>
            </w:pPr>
            <w:r>
              <w:rPr>
                <w:rFonts w:cs="Arial"/>
                <w:sz w:val="20"/>
                <w:szCs w:val="20"/>
              </w:rPr>
              <w:t xml:space="preserve">0.000 </w:t>
            </w:r>
          </w:p>
        </w:tc>
      </w:tr>
      <w:tr w:rsidR="00431B9C" w:rsidRPr="00B64B4F" w14:paraId="7580552A" w14:textId="77777777" w:rsidTr="00431B9C">
        <w:trPr>
          <w:trHeight w:val="527"/>
        </w:trPr>
        <w:tc>
          <w:tcPr>
            <w:tcW w:w="869" w:type="dxa"/>
            <w:tcBorders>
              <w:top w:val="nil"/>
              <w:left w:val="single" w:sz="4" w:space="0" w:color="auto"/>
              <w:bottom w:val="single" w:sz="4" w:space="0" w:color="auto"/>
              <w:right w:val="single" w:sz="4" w:space="0" w:color="auto"/>
            </w:tcBorders>
            <w:shd w:val="clear" w:color="000000" w:fill="FFFFFF"/>
            <w:noWrap/>
            <w:hideMark/>
          </w:tcPr>
          <w:p w14:paraId="7F4239D6" w14:textId="65CD487D" w:rsidR="00431B9C" w:rsidRPr="00B64B4F" w:rsidRDefault="00622590" w:rsidP="0049320F">
            <w:pPr>
              <w:autoSpaceDE/>
              <w:autoSpaceDN/>
              <w:adjustRightInd/>
              <w:spacing w:after="0"/>
              <w:rPr>
                <w:rFonts w:eastAsia="Times New Roman" w:cs="Arial"/>
                <w:b/>
                <w:bCs/>
                <w:sz w:val="20"/>
                <w:szCs w:val="20"/>
                <w:lang w:eastAsia="en-GB"/>
              </w:rPr>
            </w:pPr>
            <w:r>
              <w:rPr>
                <w:rFonts w:eastAsia="Times New Roman" w:cs="Arial"/>
                <w:b/>
                <w:bCs/>
                <w:sz w:val="20"/>
                <w:szCs w:val="20"/>
                <w:lang w:eastAsia="en-GB"/>
              </w:rPr>
              <w:t>3.6</w:t>
            </w:r>
            <w:r w:rsidR="00431B9C" w:rsidRPr="00B64B4F">
              <w:rPr>
                <w:rFonts w:eastAsia="Times New Roman" w:cs="Arial"/>
                <w:b/>
                <w:bCs/>
                <w:sz w:val="20"/>
                <w:szCs w:val="20"/>
                <w:lang w:eastAsia="en-GB"/>
              </w:rPr>
              <w:t>.7</w:t>
            </w:r>
          </w:p>
        </w:tc>
        <w:tc>
          <w:tcPr>
            <w:tcW w:w="4075" w:type="dxa"/>
            <w:tcBorders>
              <w:top w:val="nil"/>
              <w:left w:val="nil"/>
              <w:bottom w:val="single" w:sz="4" w:space="0" w:color="auto"/>
              <w:right w:val="single" w:sz="4" w:space="0" w:color="auto"/>
            </w:tcBorders>
            <w:shd w:val="clear" w:color="000000" w:fill="FFFFFF"/>
            <w:hideMark/>
          </w:tcPr>
          <w:p w14:paraId="2AB1BCAF" w14:textId="77777777" w:rsidR="00431B9C" w:rsidRPr="00B64B4F" w:rsidRDefault="00431B9C" w:rsidP="00A54E39">
            <w:pPr>
              <w:autoSpaceDE/>
              <w:autoSpaceDN/>
              <w:adjustRightInd/>
              <w:spacing w:after="0"/>
              <w:jc w:val="left"/>
              <w:rPr>
                <w:rFonts w:eastAsia="Times New Roman" w:cs="Arial"/>
                <w:sz w:val="20"/>
                <w:szCs w:val="20"/>
                <w:lang w:eastAsia="en-GB"/>
              </w:rPr>
            </w:pPr>
            <w:r>
              <w:rPr>
                <w:rFonts w:cs="Arial"/>
                <w:sz w:val="20"/>
                <w:szCs w:val="20"/>
              </w:rPr>
              <w:t>PROCUREMENT</w:t>
            </w:r>
          </w:p>
        </w:tc>
        <w:tc>
          <w:tcPr>
            <w:tcW w:w="1502" w:type="dxa"/>
            <w:tcBorders>
              <w:top w:val="nil"/>
              <w:left w:val="nil"/>
              <w:bottom w:val="single" w:sz="4" w:space="0" w:color="auto"/>
              <w:right w:val="single" w:sz="4" w:space="0" w:color="auto"/>
            </w:tcBorders>
            <w:shd w:val="clear" w:color="000000" w:fill="FFFFFF"/>
            <w:hideMark/>
          </w:tcPr>
          <w:p w14:paraId="7FA04C61" w14:textId="77777777" w:rsidR="00431B9C" w:rsidRPr="00B64B4F" w:rsidRDefault="00431B9C" w:rsidP="0049320F">
            <w:pPr>
              <w:autoSpaceDE/>
              <w:autoSpaceDN/>
              <w:adjustRightInd/>
              <w:spacing w:after="0"/>
              <w:rPr>
                <w:rFonts w:eastAsia="Times New Roman" w:cs="Arial"/>
                <w:sz w:val="20"/>
                <w:szCs w:val="20"/>
                <w:lang w:eastAsia="en-GB"/>
              </w:rPr>
            </w:pPr>
            <w:r>
              <w:rPr>
                <w:rFonts w:cs="Arial"/>
                <w:sz w:val="20"/>
                <w:szCs w:val="20"/>
              </w:rPr>
              <w:t xml:space="preserve">1.271 </w:t>
            </w:r>
          </w:p>
        </w:tc>
        <w:tc>
          <w:tcPr>
            <w:tcW w:w="1500" w:type="dxa"/>
            <w:tcBorders>
              <w:top w:val="nil"/>
              <w:left w:val="nil"/>
              <w:bottom w:val="single" w:sz="4" w:space="0" w:color="auto"/>
              <w:right w:val="single" w:sz="4" w:space="0" w:color="auto"/>
            </w:tcBorders>
            <w:shd w:val="clear" w:color="000000" w:fill="FFFFFF"/>
            <w:hideMark/>
          </w:tcPr>
          <w:p w14:paraId="439F1807" w14:textId="77777777" w:rsidR="00431B9C" w:rsidRPr="00B64B4F" w:rsidRDefault="00431B9C" w:rsidP="0049320F">
            <w:pPr>
              <w:autoSpaceDE/>
              <w:autoSpaceDN/>
              <w:adjustRightInd/>
              <w:spacing w:after="0"/>
              <w:rPr>
                <w:rFonts w:eastAsia="Times New Roman" w:cs="Arial"/>
                <w:sz w:val="20"/>
                <w:szCs w:val="20"/>
                <w:lang w:eastAsia="en-GB"/>
              </w:rPr>
            </w:pPr>
            <w:r>
              <w:rPr>
                <w:rFonts w:cs="Arial"/>
                <w:sz w:val="20"/>
                <w:szCs w:val="20"/>
              </w:rPr>
              <w:t xml:space="preserve">1.271 </w:t>
            </w:r>
          </w:p>
        </w:tc>
        <w:tc>
          <w:tcPr>
            <w:tcW w:w="1500" w:type="dxa"/>
            <w:tcBorders>
              <w:top w:val="nil"/>
              <w:left w:val="nil"/>
              <w:bottom w:val="single" w:sz="4" w:space="0" w:color="auto"/>
              <w:right w:val="single" w:sz="4" w:space="0" w:color="auto"/>
            </w:tcBorders>
            <w:shd w:val="clear" w:color="000000" w:fill="FFFFFF"/>
            <w:hideMark/>
          </w:tcPr>
          <w:p w14:paraId="4969A8DF" w14:textId="77777777" w:rsidR="00431B9C" w:rsidRPr="00B64B4F" w:rsidRDefault="00431B9C" w:rsidP="0049320F">
            <w:pPr>
              <w:autoSpaceDE/>
              <w:autoSpaceDN/>
              <w:adjustRightInd/>
              <w:spacing w:after="0"/>
              <w:rPr>
                <w:rFonts w:eastAsia="Times New Roman" w:cs="Arial"/>
                <w:sz w:val="20"/>
                <w:szCs w:val="20"/>
                <w:lang w:eastAsia="en-GB"/>
              </w:rPr>
            </w:pPr>
            <w:r>
              <w:rPr>
                <w:rFonts w:cs="Arial"/>
                <w:sz w:val="20"/>
                <w:szCs w:val="20"/>
              </w:rPr>
              <w:t xml:space="preserve">0.000 </w:t>
            </w:r>
          </w:p>
        </w:tc>
      </w:tr>
      <w:tr w:rsidR="00431B9C" w:rsidRPr="00B64B4F" w14:paraId="6DADD232" w14:textId="77777777" w:rsidTr="00431B9C">
        <w:trPr>
          <w:trHeight w:val="527"/>
        </w:trPr>
        <w:tc>
          <w:tcPr>
            <w:tcW w:w="869" w:type="dxa"/>
            <w:tcBorders>
              <w:top w:val="nil"/>
              <w:left w:val="single" w:sz="4" w:space="0" w:color="auto"/>
              <w:bottom w:val="single" w:sz="4" w:space="0" w:color="auto"/>
              <w:right w:val="single" w:sz="4" w:space="0" w:color="auto"/>
            </w:tcBorders>
            <w:shd w:val="clear" w:color="000000" w:fill="FFFFFF"/>
            <w:noWrap/>
            <w:hideMark/>
          </w:tcPr>
          <w:p w14:paraId="57502A83" w14:textId="5F1EF714" w:rsidR="00431B9C" w:rsidRPr="00B64B4F" w:rsidRDefault="00622590" w:rsidP="0049320F">
            <w:pPr>
              <w:autoSpaceDE/>
              <w:autoSpaceDN/>
              <w:adjustRightInd/>
              <w:spacing w:after="0"/>
              <w:rPr>
                <w:rFonts w:eastAsia="Times New Roman" w:cs="Arial"/>
                <w:b/>
                <w:bCs/>
                <w:sz w:val="20"/>
                <w:szCs w:val="20"/>
                <w:lang w:eastAsia="en-GB"/>
              </w:rPr>
            </w:pPr>
            <w:r>
              <w:rPr>
                <w:rFonts w:eastAsia="Times New Roman" w:cs="Arial"/>
                <w:b/>
                <w:bCs/>
                <w:sz w:val="20"/>
                <w:szCs w:val="20"/>
                <w:lang w:eastAsia="en-GB"/>
              </w:rPr>
              <w:t>3.6</w:t>
            </w:r>
            <w:r w:rsidR="00431B9C" w:rsidRPr="00B64B4F">
              <w:rPr>
                <w:rFonts w:eastAsia="Times New Roman" w:cs="Arial"/>
                <w:b/>
                <w:bCs/>
                <w:sz w:val="20"/>
                <w:szCs w:val="20"/>
                <w:lang w:eastAsia="en-GB"/>
              </w:rPr>
              <w:t>.8</w:t>
            </w:r>
          </w:p>
        </w:tc>
        <w:tc>
          <w:tcPr>
            <w:tcW w:w="4075" w:type="dxa"/>
            <w:tcBorders>
              <w:top w:val="nil"/>
              <w:left w:val="nil"/>
              <w:bottom w:val="single" w:sz="4" w:space="0" w:color="auto"/>
              <w:right w:val="single" w:sz="4" w:space="0" w:color="auto"/>
            </w:tcBorders>
            <w:shd w:val="clear" w:color="000000" w:fill="FFFFFF"/>
            <w:hideMark/>
          </w:tcPr>
          <w:p w14:paraId="397BBFFA" w14:textId="77777777" w:rsidR="00431B9C" w:rsidRPr="00B64B4F" w:rsidRDefault="00431B9C" w:rsidP="00A54E39">
            <w:pPr>
              <w:autoSpaceDE/>
              <w:autoSpaceDN/>
              <w:adjustRightInd/>
              <w:spacing w:after="0"/>
              <w:jc w:val="left"/>
              <w:rPr>
                <w:rFonts w:eastAsia="Times New Roman" w:cs="Arial"/>
                <w:sz w:val="20"/>
                <w:szCs w:val="20"/>
                <w:lang w:eastAsia="en-GB"/>
              </w:rPr>
            </w:pPr>
            <w:r>
              <w:rPr>
                <w:rFonts w:cs="Arial"/>
                <w:sz w:val="20"/>
                <w:szCs w:val="20"/>
              </w:rPr>
              <w:t>BUSINESS INTELLIGENCE</w:t>
            </w:r>
          </w:p>
        </w:tc>
        <w:tc>
          <w:tcPr>
            <w:tcW w:w="1502" w:type="dxa"/>
            <w:tcBorders>
              <w:top w:val="nil"/>
              <w:left w:val="nil"/>
              <w:bottom w:val="single" w:sz="4" w:space="0" w:color="auto"/>
              <w:right w:val="single" w:sz="4" w:space="0" w:color="auto"/>
            </w:tcBorders>
            <w:shd w:val="clear" w:color="000000" w:fill="FFFFFF"/>
            <w:hideMark/>
          </w:tcPr>
          <w:p w14:paraId="5B80B23C" w14:textId="77777777" w:rsidR="00431B9C" w:rsidRPr="00B64B4F" w:rsidRDefault="00431B9C" w:rsidP="0049320F">
            <w:pPr>
              <w:autoSpaceDE/>
              <w:autoSpaceDN/>
              <w:adjustRightInd/>
              <w:spacing w:after="0"/>
              <w:rPr>
                <w:rFonts w:eastAsia="Times New Roman" w:cs="Arial"/>
                <w:sz w:val="20"/>
                <w:szCs w:val="20"/>
                <w:lang w:eastAsia="en-GB"/>
              </w:rPr>
            </w:pPr>
            <w:r>
              <w:rPr>
                <w:rFonts w:cs="Arial"/>
                <w:sz w:val="20"/>
                <w:szCs w:val="20"/>
              </w:rPr>
              <w:t xml:space="preserve">0.793 </w:t>
            </w:r>
          </w:p>
        </w:tc>
        <w:tc>
          <w:tcPr>
            <w:tcW w:w="1500" w:type="dxa"/>
            <w:tcBorders>
              <w:top w:val="nil"/>
              <w:left w:val="nil"/>
              <w:bottom w:val="single" w:sz="4" w:space="0" w:color="auto"/>
              <w:right w:val="single" w:sz="4" w:space="0" w:color="auto"/>
            </w:tcBorders>
            <w:shd w:val="clear" w:color="000000" w:fill="FFFFFF"/>
            <w:hideMark/>
          </w:tcPr>
          <w:p w14:paraId="73428E85" w14:textId="77777777" w:rsidR="00431B9C" w:rsidRPr="00B64B4F" w:rsidRDefault="00431B9C" w:rsidP="0049320F">
            <w:pPr>
              <w:autoSpaceDE/>
              <w:autoSpaceDN/>
              <w:adjustRightInd/>
              <w:spacing w:after="0"/>
              <w:rPr>
                <w:rFonts w:eastAsia="Times New Roman" w:cs="Arial"/>
                <w:sz w:val="20"/>
                <w:szCs w:val="20"/>
                <w:lang w:eastAsia="en-GB"/>
              </w:rPr>
            </w:pPr>
            <w:r>
              <w:rPr>
                <w:rFonts w:cs="Arial"/>
                <w:sz w:val="20"/>
                <w:szCs w:val="20"/>
              </w:rPr>
              <w:t xml:space="preserve">0.793 </w:t>
            </w:r>
          </w:p>
        </w:tc>
        <w:tc>
          <w:tcPr>
            <w:tcW w:w="1500" w:type="dxa"/>
            <w:tcBorders>
              <w:top w:val="nil"/>
              <w:left w:val="nil"/>
              <w:bottom w:val="single" w:sz="4" w:space="0" w:color="auto"/>
              <w:right w:val="single" w:sz="4" w:space="0" w:color="auto"/>
            </w:tcBorders>
            <w:shd w:val="clear" w:color="000000" w:fill="FFFFFF"/>
            <w:hideMark/>
          </w:tcPr>
          <w:p w14:paraId="5B6285A4" w14:textId="77777777" w:rsidR="00431B9C" w:rsidRPr="00B64B4F" w:rsidRDefault="00431B9C" w:rsidP="0049320F">
            <w:pPr>
              <w:autoSpaceDE/>
              <w:autoSpaceDN/>
              <w:adjustRightInd/>
              <w:spacing w:after="0"/>
              <w:rPr>
                <w:rFonts w:eastAsia="Times New Roman" w:cs="Arial"/>
                <w:sz w:val="20"/>
                <w:szCs w:val="20"/>
                <w:lang w:eastAsia="en-GB"/>
              </w:rPr>
            </w:pPr>
            <w:r>
              <w:rPr>
                <w:rFonts w:cs="Arial"/>
                <w:sz w:val="20"/>
                <w:szCs w:val="20"/>
              </w:rPr>
              <w:t xml:space="preserve">0.000 </w:t>
            </w:r>
          </w:p>
        </w:tc>
      </w:tr>
      <w:tr w:rsidR="00431B9C" w:rsidRPr="00B64B4F" w14:paraId="38C06836" w14:textId="77777777" w:rsidTr="00431B9C">
        <w:trPr>
          <w:trHeight w:val="263"/>
        </w:trPr>
        <w:tc>
          <w:tcPr>
            <w:tcW w:w="869" w:type="dxa"/>
            <w:tcBorders>
              <w:top w:val="nil"/>
              <w:left w:val="single" w:sz="4" w:space="0" w:color="auto"/>
              <w:bottom w:val="single" w:sz="4" w:space="0" w:color="auto"/>
              <w:right w:val="single" w:sz="4" w:space="0" w:color="auto"/>
            </w:tcBorders>
            <w:shd w:val="clear" w:color="000000" w:fill="FFFFFF"/>
            <w:noWrap/>
            <w:hideMark/>
          </w:tcPr>
          <w:p w14:paraId="4065BE67" w14:textId="1F577A1C" w:rsidR="00431B9C" w:rsidRPr="00B64B4F" w:rsidRDefault="00622590" w:rsidP="0049320F">
            <w:pPr>
              <w:autoSpaceDE/>
              <w:autoSpaceDN/>
              <w:adjustRightInd/>
              <w:spacing w:after="0"/>
              <w:rPr>
                <w:rFonts w:eastAsia="Times New Roman" w:cs="Arial"/>
                <w:b/>
                <w:bCs/>
                <w:sz w:val="20"/>
                <w:szCs w:val="20"/>
                <w:lang w:eastAsia="en-GB"/>
              </w:rPr>
            </w:pPr>
            <w:r>
              <w:rPr>
                <w:rFonts w:eastAsia="Times New Roman" w:cs="Arial"/>
                <w:b/>
                <w:bCs/>
                <w:sz w:val="20"/>
                <w:szCs w:val="20"/>
                <w:lang w:eastAsia="en-GB"/>
              </w:rPr>
              <w:t>3.6</w:t>
            </w:r>
            <w:r w:rsidR="00431B9C" w:rsidRPr="00B64B4F">
              <w:rPr>
                <w:rFonts w:eastAsia="Times New Roman" w:cs="Arial"/>
                <w:b/>
                <w:bCs/>
                <w:sz w:val="20"/>
                <w:szCs w:val="20"/>
                <w:lang w:eastAsia="en-GB"/>
              </w:rPr>
              <w:t>.9</w:t>
            </w:r>
          </w:p>
        </w:tc>
        <w:tc>
          <w:tcPr>
            <w:tcW w:w="4075" w:type="dxa"/>
            <w:tcBorders>
              <w:top w:val="nil"/>
              <w:left w:val="nil"/>
              <w:bottom w:val="single" w:sz="4" w:space="0" w:color="auto"/>
              <w:right w:val="single" w:sz="4" w:space="0" w:color="auto"/>
            </w:tcBorders>
            <w:shd w:val="clear" w:color="000000" w:fill="FFFFFF"/>
            <w:hideMark/>
          </w:tcPr>
          <w:p w14:paraId="1A46412C" w14:textId="77777777" w:rsidR="00431B9C" w:rsidRPr="00B64B4F" w:rsidRDefault="00431B9C" w:rsidP="00A54E39">
            <w:pPr>
              <w:autoSpaceDE/>
              <w:autoSpaceDN/>
              <w:adjustRightInd/>
              <w:spacing w:after="0"/>
              <w:jc w:val="left"/>
              <w:rPr>
                <w:rFonts w:eastAsia="Times New Roman" w:cs="Arial"/>
                <w:sz w:val="20"/>
                <w:szCs w:val="20"/>
                <w:lang w:eastAsia="en-GB"/>
              </w:rPr>
            </w:pPr>
            <w:r>
              <w:rPr>
                <w:rFonts w:cs="Arial"/>
                <w:sz w:val="20"/>
                <w:szCs w:val="20"/>
              </w:rPr>
              <w:t>FINANCIAL RESOURCES</w:t>
            </w:r>
          </w:p>
        </w:tc>
        <w:tc>
          <w:tcPr>
            <w:tcW w:w="1502" w:type="dxa"/>
            <w:tcBorders>
              <w:top w:val="nil"/>
              <w:left w:val="nil"/>
              <w:bottom w:val="single" w:sz="4" w:space="0" w:color="auto"/>
              <w:right w:val="single" w:sz="4" w:space="0" w:color="auto"/>
            </w:tcBorders>
            <w:shd w:val="clear" w:color="000000" w:fill="FFFFFF"/>
            <w:hideMark/>
          </w:tcPr>
          <w:p w14:paraId="143F00F7" w14:textId="77777777" w:rsidR="00431B9C" w:rsidRPr="00B64B4F" w:rsidRDefault="00431B9C" w:rsidP="0049320F">
            <w:pPr>
              <w:autoSpaceDE/>
              <w:autoSpaceDN/>
              <w:adjustRightInd/>
              <w:spacing w:after="0"/>
              <w:rPr>
                <w:rFonts w:eastAsia="Times New Roman" w:cs="Arial"/>
                <w:sz w:val="20"/>
                <w:szCs w:val="20"/>
                <w:lang w:eastAsia="en-GB"/>
              </w:rPr>
            </w:pPr>
            <w:r>
              <w:rPr>
                <w:rFonts w:cs="Arial"/>
                <w:sz w:val="20"/>
                <w:szCs w:val="20"/>
              </w:rPr>
              <w:t xml:space="preserve">0.113 </w:t>
            </w:r>
          </w:p>
        </w:tc>
        <w:tc>
          <w:tcPr>
            <w:tcW w:w="1500" w:type="dxa"/>
            <w:tcBorders>
              <w:top w:val="nil"/>
              <w:left w:val="nil"/>
              <w:bottom w:val="single" w:sz="4" w:space="0" w:color="auto"/>
              <w:right w:val="single" w:sz="4" w:space="0" w:color="auto"/>
            </w:tcBorders>
            <w:shd w:val="clear" w:color="000000" w:fill="FFFFFF"/>
            <w:hideMark/>
          </w:tcPr>
          <w:p w14:paraId="5014BE40" w14:textId="77777777" w:rsidR="00431B9C" w:rsidRPr="00B64B4F" w:rsidRDefault="00431B9C" w:rsidP="0049320F">
            <w:pPr>
              <w:autoSpaceDE/>
              <w:autoSpaceDN/>
              <w:adjustRightInd/>
              <w:spacing w:after="0"/>
              <w:rPr>
                <w:rFonts w:eastAsia="Times New Roman" w:cs="Arial"/>
                <w:sz w:val="20"/>
                <w:szCs w:val="20"/>
                <w:lang w:eastAsia="en-GB"/>
              </w:rPr>
            </w:pPr>
            <w:r>
              <w:rPr>
                <w:rFonts w:cs="Arial"/>
                <w:sz w:val="20"/>
                <w:szCs w:val="20"/>
              </w:rPr>
              <w:t xml:space="preserve">0.113 </w:t>
            </w:r>
          </w:p>
        </w:tc>
        <w:tc>
          <w:tcPr>
            <w:tcW w:w="1500" w:type="dxa"/>
            <w:tcBorders>
              <w:top w:val="nil"/>
              <w:left w:val="nil"/>
              <w:bottom w:val="single" w:sz="4" w:space="0" w:color="auto"/>
              <w:right w:val="single" w:sz="4" w:space="0" w:color="auto"/>
            </w:tcBorders>
            <w:shd w:val="clear" w:color="000000" w:fill="FFFFFF"/>
            <w:hideMark/>
          </w:tcPr>
          <w:p w14:paraId="46D371C5" w14:textId="77777777" w:rsidR="00431B9C" w:rsidRPr="00B64B4F" w:rsidRDefault="00431B9C" w:rsidP="0049320F">
            <w:pPr>
              <w:autoSpaceDE/>
              <w:autoSpaceDN/>
              <w:adjustRightInd/>
              <w:spacing w:after="0"/>
              <w:rPr>
                <w:rFonts w:eastAsia="Times New Roman" w:cs="Arial"/>
                <w:sz w:val="20"/>
                <w:szCs w:val="20"/>
                <w:lang w:eastAsia="en-GB"/>
              </w:rPr>
            </w:pPr>
            <w:r>
              <w:rPr>
                <w:rFonts w:cs="Arial"/>
                <w:sz w:val="20"/>
                <w:szCs w:val="20"/>
              </w:rPr>
              <w:t xml:space="preserve">0.000 </w:t>
            </w:r>
          </w:p>
        </w:tc>
      </w:tr>
      <w:tr w:rsidR="00431B9C" w:rsidRPr="00B64B4F" w14:paraId="543015E7" w14:textId="77777777" w:rsidTr="00431B9C">
        <w:trPr>
          <w:trHeight w:val="527"/>
        </w:trPr>
        <w:tc>
          <w:tcPr>
            <w:tcW w:w="869" w:type="dxa"/>
            <w:tcBorders>
              <w:top w:val="nil"/>
              <w:left w:val="single" w:sz="4" w:space="0" w:color="auto"/>
              <w:bottom w:val="single" w:sz="4" w:space="0" w:color="auto"/>
              <w:right w:val="single" w:sz="4" w:space="0" w:color="auto"/>
            </w:tcBorders>
            <w:shd w:val="clear" w:color="000000" w:fill="FFFFFF"/>
            <w:noWrap/>
            <w:hideMark/>
          </w:tcPr>
          <w:p w14:paraId="486AAAB2" w14:textId="2E0113B0" w:rsidR="00431B9C" w:rsidRPr="00B64B4F" w:rsidRDefault="00622590" w:rsidP="0049320F">
            <w:pPr>
              <w:autoSpaceDE/>
              <w:autoSpaceDN/>
              <w:adjustRightInd/>
              <w:spacing w:after="0"/>
              <w:rPr>
                <w:rFonts w:eastAsia="Times New Roman" w:cs="Arial"/>
                <w:b/>
                <w:bCs/>
                <w:sz w:val="20"/>
                <w:szCs w:val="20"/>
                <w:lang w:eastAsia="en-GB"/>
              </w:rPr>
            </w:pPr>
            <w:r>
              <w:rPr>
                <w:rFonts w:eastAsia="Times New Roman" w:cs="Arial"/>
                <w:b/>
                <w:bCs/>
                <w:sz w:val="20"/>
                <w:szCs w:val="20"/>
                <w:lang w:eastAsia="en-GB"/>
              </w:rPr>
              <w:t>3.6</w:t>
            </w:r>
            <w:r w:rsidR="00431B9C" w:rsidRPr="00B64B4F">
              <w:rPr>
                <w:rFonts w:eastAsia="Times New Roman" w:cs="Arial"/>
                <w:b/>
                <w:bCs/>
                <w:sz w:val="20"/>
                <w:szCs w:val="20"/>
                <w:lang w:eastAsia="en-GB"/>
              </w:rPr>
              <w:t>.10</w:t>
            </w:r>
          </w:p>
        </w:tc>
        <w:tc>
          <w:tcPr>
            <w:tcW w:w="4075" w:type="dxa"/>
            <w:tcBorders>
              <w:top w:val="nil"/>
              <w:left w:val="nil"/>
              <w:bottom w:val="single" w:sz="4" w:space="0" w:color="auto"/>
              <w:right w:val="single" w:sz="4" w:space="0" w:color="auto"/>
            </w:tcBorders>
            <w:shd w:val="clear" w:color="000000" w:fill="FFFFFF"/>
            <w:hideMark/>
          </w:tcPr>
          <w:p w14:paraId="3F2348A7" w14:textId="77777777" w:rsidR="00431B9C" w:rsidRPr="00B64B4F" w:rsidRDefault="00431B9C" w:rsidP="00A54E39">
            <w:pPr>
              <w:autoSpaceDE/>
              <w:autoSpaceDN/>
              <w:adjustRightInd/>
              <w:spacing w:after="0"/>
              <w:jc w:val="left"/>
              <w:rPr>
                <w:rFonts w:eastAsia="Times New Roman" w:cs="Arial"/>
                <w:sz w:val="20"/>
                <w:szCs w:val="20"/>
                <w:lang w:eastAsia="en-GB"/>
              </w:rPr>
            </w:pPr>
            <w:r>
              <w:rPr>
                <w:rFonts w:cs="Arial"/>
                <w:sz w:val="20"/>
                <w:szCs w:val="20"/>
              </w:rPr>
              <w:t>EXCHEQUER SERVICES</w:t>
            </w:r>
          </w:p>
        </w:tc>
        <w:tc>
          <w:tcPr>
            <w:tcW w:w="1502" w:type="dxa"/>
            <w:tcBorders>
              <w:top w:val="nil"/>
              <w:left w:val="nil"/>
              <w:bottom w:val="single" w:sz="4" w:space="0" w:color="auto"/>
              <w:right w:val="single" w:sz="4" w:space="0" w:color="auto"/>
            </w:tcBorders>
            <w:shd w:val="clear" w:color="000000" w:fill="FFFFFF"/>
            <w:hideMark/>
          </w:tcPr>
          <w:p w14:paraId="47A70E47" w14:textId="77777777" w:rsidR="00431B9C" w:rsidRPr="00B64B4F" w:rsidRDefault="00431B9C" w:rsidP="0049320F">
            <w:pPr>
              <w:autoSpaceDE/>
              <w:autoSpaceDN/>
              <w:adjustRightInd/>
              <w:spacing w:after="0"/>
              <w:rPr>
                <w:rFonts w:eastAsia="Times New Roman" w:cs="Arial"/>
                <w:sz w:val="20"/>
                <w:szCs w:val="20"/>
                <w:lang w:eastAsia="en-GB"/>
              </w:rPr>
            </w:pPr>
            <w:r>
              <w:rPr>
                <w:rFonts w:cs="Arial"/>
                <w:sz w:val="20"/>
                <w:szCs w:val="20"/>
              </w:rPr>
              <w:t xml:space="preserve">3.816 </w:t>
            </w:r>
          </w:p>
        </w:tc>
        <w:tc>
          <w:tcPr>
            <w:tcW w:w="1500" w:type="dxa"/>
            <w:tcBorders>
              <w:top w:val="nil"/>
              <w:left w:val="nil"/>
              <w:bottom w:val="single" w:sz="4" w:space="0" w:color="auto"/>
              <w:right w:val="single" w:sz="4" w:space="0" w:color="auto"/>
            </w:tcBorders>
            <w:shd w:val="clear" w:color="000000" w:fill="FFFFFF"/>
            <w:hideMark/>
          </w:tcPr>
          <w:p w14:paraId="6EDB8AF0" w14:textId="559F6764" w:rsidR="00431B9C" w:rsidRPr="00B64B4F" w:rsidRDefault="00524679" w:rsidP="0049320F">
            <w:pPr>
              <w:autoSpaceDE/>
              <w:autoSpaceDN/>
              <w:adjustRightInd/>
              <w:spacing w:after="0"/>
              <w:rPr>
                <w:rFonts w:eastAsia="Times New Roman" w:cs="Arial"/>
                <w:sz w:val="20"/>
                <w:szCs w:val="20"/>
                <w:lang w:eastAsia="en-GB"/>
              </w:rPr>
            </w:pPr>
            <w:r>
              <w:rPr>
                <w:rFonts w:cs="Arial"/>
                <w:sz w:val="20"/>
                <w:szCs w:val="20"/>
              </w:rPr>
              <w:t>3.5</w:t>
            </w:r>
            <w:r w:rsidR="00431B9C">
              <w:rPr>
                <w:rFonts w:cs="Arial"/>
                <w:sz w:val="20"/>
                <w:szCs w:val="20"/>
              </w:rPr>
              <w:t xml:space="preserve">16 </w:t>
            </w:r>
          </w:p>
        </w:tc>
        <w:tc>
          <w:tcPr>
            <w:tcW w:w="1500" w:type="dxa"/>
            <w:tcBorders>
              <w:top w:val="nil"/>
              <w:left w:val="nil"/>
              <w:bottom w:val="single" w:sz="4" w:space="0" w:color="auto"/>
              <w:right w:val="single" w:sz="4" w:space="0" w:color="auto"/>
            </w:tcBorders>
            <w:shd w:val="clear" w:color="000000" w:fill="FFFFFF"/>
            <w:hideMark/>
          </w:tcPr>
          <w:p w14:paraId="776E0E86" w14:textId="1537A43E" w:rsidR="00431B9C" w:rsidRPr="00B64B4F" w:rsidRDefault="00524679" w:rsidP="0049320F">
            <w:pPr>
              <w:autoSpaceDE/>
              <w:autoSpaceDN/>
              <w:adjustRightInd/>
              <w:spacing w:after="0"/>
              <w:rPr>
                <w:rFonts w:eastAsia="Times New Roman" w:cs="Arial"/>
                <w:sz w:val="20"/>
                <w:szCs w:val="20"/>
                <w:lang w:eastAsia="en-GB"/>
              </w:rPr>
            </w:pPr>
            <w:r>
              <w:rPr>
                <w:rFonts w:cs="Arial"/>
                <w:sz w:val="20"/>
                <w:szCs w:val="20"/>
              </w:rPr>
              <w:t>-0.300</w:t>
            </w:r>
            <w:r w:rsidR="00431B9C">
              <w:rPr>
                <w:rFonts w:cs="Arial"/>
                <w:sz w:val="20"/>
                <w:szCs w:val="20"/>
              </w:rPr>
              <w:t xml:space="preserve"> </w:t>
            </w:r>
          </w:p>
        </w:tc>
      </w:tr>
      <w:tr w:rsidR="00431B9C" w:rsidRPr="00B64B4F" w14:paraId="107CF00D" w14:textId="77777777" w:rsidTr="00431B9C">
        <w:trPr>
          <w:trHeight w:val="263"/>
        </w:trPr>
        <w:tc>
          <w:tcPr>
            <w:tcW w:w="869" w:type="dxa"/>
            <w:tcBorders>
              <w:top w:val="nil"/>
              <w:left w:val="single" w:sz="4" w:space="0" w:color="auto"/>
              <w:bottom w:val="single" w:sz="4" w:space="0" w:color="auto"/>
              <w:right w:val="single" w:sz="4" w:space="0" w:color="auto"/>
            </w:tcBorders>
            <w:shd w:val="clear" w:color="000000" w:fill="FFFFFF"/>
            <w:noWrap/>
            <w:hideMark/>
          </w:tcPr>
          <w:p w14:paraId="53C5160F" w14:textId="5E4FAB89" w:rsidR="00431B9C" w:rsidRPr="00B64B4F" w:rsidRDefault="00622590" w:rsidP="0049320F">
            <w:pPr>
              <w:autoSpaceDE/>
              <w:autoSpaceDN/>
              <w:adjustRightInd/>
              <w:spacing w:after="0"/>
              <w:rPr>
                <w:rFonts w:eastAsia="Times New Roman" w:cs="Arial"/>
                <w:b/>
                <w:bCs/>
                <w:sz w:val="20"/>
                <w:szCs w:val="20"/>
                <w:lang w:eastAsia="en-GB"/>
              </w:rPr>
            </w:pPr>
            <w:r>
              <w:rPr>
                <w:rFonts w:eastAsia="Times New Roman" w:cs="Arial"/>
                <w:b/>
                <w:bCs/>
                <w:sz w:val="20"/>
                <w:szCs w:val="20"/>
                <w:lang w:eastAsia="en-GB"/>
              </w:rPr>
              <w:t>3.6</w:t>
            </w:r>
            <w:r w:rsidR="00431B9C" w:rsidRPr="00B64B4F">
              <w:rPr>
                <w:rFonts w:eastAsia="Times New Roman" w:cs="Arial"/>
                <w:b/>
                <w:bCs/>
                <w:sz w:val="20"/>
                <w:szCs w:val="20"/>
                <w:lang w:eastAsia="en-GB"/>
              </w:rPr>
              <w:t>.11</w:t>
            </w:r>
          </w:p>
        </w:tc>
        <w:tc>
          <w:tcPr>
            <w:tcW w:w="4075" w:type="dxa"/>
            <w:tcBorders>
              <w:top w:val="nil"/>
              <w:left w:val="nil"/>
              <w:bottom w:val="single" w:sz="4" w:space="0" w:color="auto"/>
              <w:right w:val="single" w:sz="4" w:space="0" w:color="auto"/>
            </w:tcBorders>
            <w:shd w:val="clear" w:color="000000" w:fill="FFFFFF"/>
            <w:hideMark/>
          </w:tcPr>
          <w:p w14:paraId="4AEC20CE" w14:textId="77777777" w:rsidR="00431B9C" w:rsidRPr="00B64B4F" w:rsidRDefault="00431B9C" w:rsidP="00A54E39">
            <w:pPr>
              <w:autoSpaceDE/>
              <w:autoSpaceDN/>
              <w:adjustRightInd/>
              <w:spacing w:after="0"/>
              <w:jc w:val="left"/>
              <w:rPr>
                <w:rFonts w:eastAsia="Times New Roman" w:cs="Arial"/>
                <w:sz w:val="20"/>
                <w:szCs w:val="20"/>
                <w:lang w:eastAsia="en-GB"/>
              </w:rPr>
            </w:pPr>
            <w:r>
              <w:rPr>
                <w:rFonts w:cs="Arial"/>
                <w:sz w:val="20"/>
                <w:szCs w:val="20"/>
              </w:rPr>
              <w:t>FINANCIAL MGT (DEVELOPMENT AND SCHOOLS)</w:t>
            </w:r>
          </w:p>
        </w:tc>
        <w:tc>
          <w:tcPr>
            <w:tcW w:w="1502" w:type="dxa"/>
            <w:tcBorders>
              <w:top w:val="nil"/>
              <w:left w:val="nil"/>
              <w:bottom w:val="single" w:sz="4" w:space="0" w:color="auto"/>
              <w:right w:val="single" w:sz="4" w:space="0" w:color="auto"/>
            </w:tcBorders>
            <w:shd w:val="clear" w:color="000000" w:fill="FFFFFF"/>
            <w:hideMark/>
          </w:tcPr>
          <w:p w14:paraId="5FB35321" w14:textId="77777777" w:rsidR="00431B9C" w:rsidRPr="00B64B4F" w:rsidRDefault="00431B9C" w:rsidP="0049320F">
            <w:pPr>
              <w:autoSpaceDE/>
              <w:autoSpaceDN/>
              <w:adjustRightInd/>
              <w:spacing w:after="0"/>
              <w:rPr>
                <w:rFonts w:eastAsia="Times New Roman" w:cs="Arial"/>
                <w:sz w:val="20"/>
                <w:szCs w:val="20"/>
                <w:lang w:eastAsia="en-GB"/>
              </w:rPr>
            </w:pPr>
            <w:r>
              <w:rPr>
                <w:rFonts w:cs="Arial"/>
                <w:sz w:val="20"/>
                <w:szCs w:val="20"/>
              </w:rPr>
              <w:t xml:space="preserve">0.424 </w:t>
            </w:r>
          </w:p>
        </w:tc>
        <w:tc>
          <w:tcPr>
            <w:tcW w:w="1500" w:type="dxa"/>
            <w:tcBorders>
              <w:top w:val="nil"/>
              <w:left w:val="nil"/>
              <w:bottom w:val="single" w:sz="4" w:space="0" w:color="auto"/>
              <w:right w:val="single" w:sz="4" w:space="0" w:color="auto"/>
            </w:tcBorders>
            <w:shd w:val="clear" w:color="000000" w:fill="FFFFFF"/>
            <w:hideMark/>
          </w:tcPr>
          <w:p w14:paraId="7D890016" w14:textId="57100CD6" w:rsidR="00431B9C" w:rsidRPr="00B64B4F" w:rsidRDefault="00524679" w:rsidP="0049320F">
            <w:pPr>
              <w:autoSpaceDE/>
              <w:autoSpaceDN/>
              <w:adjustRightInd/>
              <w:spacing w:after="0"/>
              <w:rPr>
                <w:rFonts w:eastAsia="Times New Roman" w:cs="Arial"/>
                <w:sz w:val="20"/>
                <w:szCs w:val="20"/>
                <w:lang w:eastAsia="en-GB"/>
              </w:rPr>
            </w:pPr>
            <w:r>
              <w:rPr>
                <w:rFonts w:cs="Arial"/>
                <w:sz w:val="20"/>
                <w:szCs w:val="20"/>
              </w:rPr>
              <w:t>0.3</w:t>
            </w:r>
            <w:r w:rsidR="00431B9C">
              <w:rPr>
                <w:rFonts w:cs="Arial"/>
                <w:sz w:val="20"/>
                <w:szCs w:val="20"/>
              </w:rPr>
              <w:t xml:space="preserve">24 </w:t>
            </w:r>
          </w:p>
        </w:tc>
        <w:tc>
          <w:tcPr>
            <w:tcW w:w="1500" w:type="dxa"/>
            <w:tcBorders>
              <w:top w:val="nil"/>
              <w:left w:val="nil"/>
              <w:bottom w:val="single" w:sz="4" w:space="0" w:color="auto"/>
              <w:right w:val="single" w:sz="4" w:space="0" w:color="auto"/>
            </w:tcBorders>
            <w:shd w:val="clear" w:color="000000" w:fill="FFFFFF"/>
            <w:hideMark/>
          </w:tcPr>
          <w:p w14:paraId="0BD549CD" w14:textId="1DE68E59" w:rsidR="00431B9C" w:rsidRPr="00B64B4F" w:rsidRDefault="00524679" w:rsidP="0049320F">
            <w:pPr>
              <w:autoSpaceDE/>
              <w:autoSpaceDN/>
              <w:adjustRightInd/>
              <w:spacing w:after="0"/>
              <w:rPr>
                <w:rFonts w:eastAsia="Times New Roman" w:cs="Arial"/>
                <w:sz w:val="20"/>
                <w:szCs w:val="20"/>
                <w:lang w:eastAsia="en-GB"/>
              </w:rPr>
            </w:pPr>
            <w:r>
              <w:rPr>
                <w:rFonts w:cs="Arial"/>
                <w:sz w:val="20"/>
                <w:szCs w:val="20"/>
              </w:rPr>
              <w:t>-</w:t>
            </w:r>
            <w:r w:rsidR="00431B9C">
              <w:rPr>
                <w:rFonts w:cs="Arial"/>
                <w:sz w:val="20"/>
                <w:szCs w:val="20"/>
              </w:rPr>
              <w:t>0.</w:t>
            </w:r>
            <w:r>
              <w:rPr>
                <w:rFonts w:cs="Arial"/>
                <w:sz w:val="20"/>
                <w:szCs w:val="20"/>
              </w:rPr>
              <w:t>100</w:t>
            </w:r>
            <w:r w:rsidR="00431B9C">
              <w:rPr>
                <w:rFonts w:cs="Arial"/>
                <w:sz w:val="20"/>
                <w:szCs w:val="20"/>
              </w:rPr>
              <w:t xml:space="preserve"> </w:t>
            </w:r>
          </w:p>
        </w:tc>
      </w:tr>
      <w:tr w:rsidR="00431B9C" w:rsidRPr="00B64B4F" w14:paraId="5911FE45" w14:textId="77777777" w:rsidTr="00431B9C">
        <w:trPr>
          <w:trHeight w:val="527"/>
        </w:trPr>
        <w:tc>
          <w:tcPr>
            <w:tcW w:w="869" w:type="dxa"/>
            <w:tcBorders>
              <w:top w:val="nil"/>
              <w:left w:val="single" w:sz="4" w:space="0" w:color="auto"/>
              <w:bottom w:val="single" w:sz="4" w:space="0" w:color="auto"/>
              <w:right w:val="single" w:sz="4" w:space="0" w:color="auto"/>
            </w:tcBorders>
            <w:shd w:val="clear" w:color="000000" w:fill="FFFFFF"/>
            <w:noWrap/>
            <w:hideMark/>
          </w:tcPr>
          <w:p w14:paraId="2411ED81" w14:textId="62677970" w:rsidR="00431B9C" w:rsidRPr="00B64B4F" w:rsidRDefault="00622590" w:rsidP="0049320F">
            <w:pPr>
              <w:autoSpaceDE/>
              <w:autoSpaceDN/>
              <w:adjustRightInd/>
              <w:spacing w:after="0"/>
              <w:rPr>
                <w:rFonts w:eastAsia="Times New Roman" w:cs="Arial"/>
                <w:b/>
                <w:bCs/>
                <w:sz w:val="20"/>
                <w:szCs w:val="20"/>
                <w:lang w:eastAsia="en-GB"/>
              </w:rPr>
            </w:pPr>
            <w:r>
              <w:rPr>
                <w:rFonts w:eastAsia="Times New Roman" w:cs="Arial"/>
                <w:b/>
                <w:bCs/>
                <w:sz w:val="20"/>
                <w:szCs w:val="20"/>
                <w:lang w:eastAsia="en-GB"/>
              </w:rPr>
              <w:t>3.6</w:t>
            </w:r>
            <w:r w:rsidR="00431B9C" w:rsidRPr="00B64B4F">
              <w:rPr>
                <w:rFonts w:eastAsia="Times New Roman" w:cs="Arial"/>
                <w:b/>
                <w:bCs/>
                <w:sz w:val="20"/>
                <w:szCs w:val="20"/>
                <w:lang w:eastAsia="en-GB"/>
              </w:rPr>
              <w:t>.12</w:t>
            </w:r>
          </w:p>
        </w:tc>
        <w:tc>
          <w:tcPr>
            <w:tcW w:w="4075" w:type="dxa"/>
            <w:tcBorders>
              <w:top w:val="nil"/>
              <w:left w:val="nil"/>
              <w:bottom w:val="single" w:sz="4" w:space="0" w:color="auto"/>
              <w:right w:val="single" w:sz="4" w:space="0" w:color="auto"/>
            </w:tcBorders>
            <w:shd w:val="clear" w:color="000000" w:fill="FFFFFF"/>
            <w:hideMark/>
          </w:tcPr>
          <w:p w14:paraId="5ED12BFA" w14:textId="77777777" w:rsidR="00431B9C" w:rsidRPr="00B64B4F" w:rsidRDefault="00431B9C" w:rsidP="00A54E39">
            <w:pPr>
              <w:autoSpaceDE/>
              <w:autoSpaceDN/>
              <w:adjustRightInd/>
              <w:spacing w:after="0"/>
              <w:jc w:val="left"/>
              <w:rPr>
                <w:rFonts w:eastAsia="Times New Roman" w:cs="Arial"/>
                <w:sz w:val="20"/>
                <w:szCs w:val="20"/>
                <w:lang w:eastAsia="en-GB"/>
              </w:rPr>
            </w:pPr>
            <w:r>
              <w:rPr>
                <w:rFonts w:cs="Arial"/>
                <w:sz w:val="20"/>
                <w:szCs w:val="20"/>
              </w:rPr>
              <w:t>FINANCIAL MGT (OPERATIONAL)</w:t>
            </w:r>
          </w:p>
        </w:tc>
        <w:tc>
          <w:tcPr>
            <w:tcW w:w="1502" w:type="dxa"/>
            <w:tcBorders>
              <w:top w:val="nil"/>
              <w:left w:val="nil"/>
              <w:bottom w:val="single" w:sz="4" w:space="0" w:color="auto"/>
              <w:right w:val="single" w:sz="4" w:space="0" w:color="auto"/>
            </w:tcBorders>
            <w:shd w:val="clear" w:color="000000" w:fill="FFFFFF"/>
            <w:hideMark/>
          </w:tcPr>
          <w:p w14:paraId="199105EA" w14:textId="77777777" w:rsidR="00431B9C" w:rsidRPr="00B64B4F" w:rsidRDefault="00431B9C" w:rsidP="0049320F">
            <w:pPr>
              <w:autoSpaceDE/>
              <w:autoSpaceDN/>
              <w:adjustRightInd/>
              <w:spacing w:after="0"/>
              <w:rPr>
                <w:rFonts w:eastAsia="Times New Roman" w:cs="Arial"/>
                <w:sz w:val="20"/>
                <w:szCs w:val="20"/>
                <w:lang w:eastAsia="en-GB"/>
              </w:rPr>
            </w:pPr>
            <w:r>
              <w:rPr>
                <w:rFonts w:cs="Arial"/>
                <w:sz w:val="20"/>
                <w:szCs w:val="20"/>
              </w:rPr>
              <w:t xml:space="preserve">1.793 </w:t>
            </w:r>
          </w:p>
        </w:tc>
        <w:tc>
          <w:tcPr>
            <w:tcW w:w="1500" w:type="dxa"/>
            <w:tcBorders>
              <w:top w:val="nil"/>
              <w:left w:val="nil"/>
              <w:bottom w:val="single" w:sz="4" w:space="0" w:color="auto"/>
              <w:right w:val="single" w:sz="4" w:space="0" w:color="auto"/>
            </w:tcBorders>
            <w:shd w:val="clear" w:color="000000" w:fill="FFFFFF"/>
            <w:hideMark/>
          </w:tcPr>
          <w:p w14:paraId="6B9CB1A7" w14:textId="4DC70414" w:rsidR="00431B9C" w:rsidRPr="00B64B4F" w:rsidRDefault="00524679" w:rsidP="0049320F">
            <w:pPr>
              <w:autoSpaceDE/>
              <w:autoSpaceDN/>
              <w:adjustRightInd/>
              <w:spacing w:after="0"/>
              <w:rPr>
                <w:rFonts w:eastAsia="Times New Roman" w:cs="Arial"/>
                <w:sz w:val="20"/>
                <w:szCs w:val="20"/>
                <w:lang w:eastAsia="en-GB"/>
              </w:rPr>
            </w:pPr>
            <w:r>
              <w:rPr>
                <w:rFonts w:cs="Arial"/>
                <w:sz w:val="20"/>
                <w:szCs w:val="20"/>
              </w:rPr>
              <w:t>1.74</w:t>
            </w:r>
            <w:r w:rsidR="00431B9C">
              <w:rPr>
                <w:rFonts w:cs="Arial"/>
                <w:sz w:val="20"/>
                <w:szCs w:val="20"/>
              </w:rPr>
              <w:t xml:space="preserve">3 </w:t>
            </w:r>
          </w:p>
        </w:tc>
        <w:tc>
          <w:tcPr>
            <w:tcW w:w="1500" w:type="dxa"/>
            <w:tcBorders>
              <w:top w:val="nil"/>
              <w:left w:val="nil"/>
              <w:bottom w:val="single" w:sz="4" w:space="0" w:color="auto"/>
              <w:right w:val="single" w:sz="4" w:space="0" w:color="auto"/>
            </w:tcBorders>
            <w:shd w:val="clear" w:color="000000" w:fill="FFFFFF"/>
            <w:hideMark/>
          </w:tcPr>
          <w:p w14:paraId="75585717" w14:textId="30EFA9ED" w:rsidR="00431B9C" w:rsidRPr="00B64B4F" w:rsidRDefault="00524679" w:rsidP="0049320F">
            <w:pPr>
              <w:autoSpaceDE/>
              <w:autoSpaceDN/>
              <w:adjustRightInd/>
              <w:spacing w:after="0"/>
              <w:rPr>
                <w:rFonts w:eastAsia="Times New Roman" w:cs="Arial"/>
                <w:sz w:val="20"/>
                <w:szCs w:val="20"/>
                <w:lang w:eastAsia="en-GB"/>
              </w:rPr>
            </w:pPr>
            <w:r>
              <w:rPr>
                <w:rFonts w:cs="Arial"/>
                <w:sz w:val="20"/>
                <w:szCs w:val="20"/>
              </w:rPr>
              <w:t>-</w:t>
            </w:r>
            <w:r w:rsidR="00431B9C">
              <w:rPr>
                <w:rFonts w:cs="Arial"/>
                <w:sz w:val="20"/>
                <w:szCs w:val="20"/>
              </w:rPr>
              <w:t>0.0</w:t>
            </w:r>
            <w:r>
              <w:rPr>
                <w:rFonts w:cs="Arial"/>
                <w:sz w:val="20"/>
                <w:szCs w:val="20"/>
              </w:rPr>
              <w:t>50</w:t>
            </w:r>
            <w:r w:rsidR="00431B9C">
              <w:rPr>
                <w:rFonts w:cs="Arial"/>
                <w:sz w:val="20"/>
                <w:szCs w:val="20"/>
              </w:rPr>
              <w:t xml:space="preserve"> </w:t>
            </w:r>
          </w:p>
        </w:tc>
      </w:tr>
      <w:tr w:rsidR="00431B9C" w:rsidRPr="00B64B4F" w14:paraId="3CC2AE9C" w14:textId="77777777" w:rsidTr="00431B9C">
        <w:trPr>
          <w:trHeight w:val="263"/>
        </w:trPr>
        <w:tc>
          <w:tcPr>
            <w:tcW w:w="869" w:type="dxa"/>
            <w:tcBorders>
              <w:top w:val="nil"/>
              <w:left w:val="single" w:sz="4" w:space="0" w:color="auto"/>
              <w:bottom w:val="single" w:sz="4" w:space="0" w:color="auto"/>
              <w:right w:val="single" w:sz="4" w:space="0" w:color="auto"/>
            </w:tcBorders>
            <w:shd w:val="clear" w:color="000000" w:fill="FFFFFF"/>
            <w:noWrap/>
            <w:hideMark/>
          </w:tcPr>
          <w:p w14:paraId="22549315" w14:textId="4DAB77DD" w:rsidR="00431B9C" w:rsidRPr="00B64B4F" w:rsidRDefault="00622590" w:rsidP="0049320F">
            <w:pPr>
              <w:autoSpaceDE/>
              <w:autoSpaceDN/>
              <w:adjustRightInd/>
              <w:spacing w:after="0"/>
              <w:rPr>
                <w:rFonts w:eastAsia="Times New Roman" w:cs="Arial"/>
                <w:b/>
                <w:bCs/>
                <w:sz w:val="20"/>
                <w:szCs w:val="20"/>
                <w:lang w:eastAsia="en-GB"/>
              </w:rPr>
            </w:pPr>
            <w:r>
              <w:rPr>
                <w:rFonts w:eastAsia="Times New Roman" w:cs="Arial"/>
                <w:b/>
                <w:bCs/>
                <w:sz w:val="20"/>
                <w:szCs w:val="20"/>
                <w:lang w:eastAsia="en-GB"/>
              </w:rPr>
              <w:t>3.6</w:t>
            </w:r>
            <w:r w:rsidR="00431B9C" w:rsidRPr="00B64B4F">
              <w:rPr>
                <w:rFonts w:eastAsia="Times New Roman" w:cs="Arial"/>
                <w:b/>
                <w:bCs/>
                <w:sz w:val="20"/>
                <w:szCs w:val="20"/>
                <w:lang w:eastAsia="en-GB"/>
              </w:rPr>
              <w:t>.13</w:t>
            </w:r>
          </w:p>
        </w:tc>
        <w:tc>
          <w:tcPr>
            <w:tcW w:w="4075" w:type="dxa"/>
            <w:tcBorders>
              <w:top w:val="nil"/>
              <w:left w:val="nil"/>
              <w:bottom w:val="single" w:sz="4" w:space="0" w:color="auto"/>
              <w:right w:val="single" w:sz="4" w:space="0" w:color="auto"/>
            </w:tcBorders>
            <w:shd w:val="clear" w:color="000000" w:fill="FFFFFF"/>
            <w:hideMark/>
          </w:tcPr>
          <w:p w14:paraId="219B4354" w14:textId="77777777" w:rsidR="00431B9C" w:rsidRPr="00B64B4F" w:rsidRDefault="00431B9C" w:rsidP="00A54E39">
            <w:pPr>
              <w:autoSpaceDE/>
              <w:autoSpaceDN/>
              <w:adjustRightInd/>
              <w:spacing w:after="0"/>
              <w:jc w:val="left"/>
              <w:rPr>
                <w:rFonts w:eastAsia="Times New Roman" w:cs="Arial"/>
                <w:sz w:val="20"/>
                <w:szCs w:val="20"/>
                <w:lang w:eastAsia="en-GB"/>
              </w:rPr>
            </w:pPr>
            <w:r>
              <w:rPr>
                <w:rFonts w:cs="Arial"/>
                <w:sz w:val="20"/>
                <w:szCs w:val="20"/>
              </w:rPr>
              <w:t>OFFICE OF THE POLICE AND CRIME COMMISSIONER TRES</w:t>
            </w:r>
          </w:p>
        </w:tc>
        <w:tc>
          <w:tcPr>
            <w:tcW w:w="1502" w:type="dxa"/>
            <w:tcBorders>
              <w:top w:val="nil"/>
              <w:left w:val="nil"/>
              <w:bottom w:val="single" w:sz="4" w:space="0" w:color="auto"/>
              <w:right w:val="single" w:sz="4" w:space="0" w:color="auto"/>
            </w:tcBorders>
            <w:shd w:val="clear" w:color="000000" w:fill="FFFFFF"/>
            <w:hideMark/>
          </w:tcPr>
          <w:p w14:paraId="5C72B7EB" w14:textId="77777777" w:rsidR="00431B9C" w:rsidRPr="00B64B4F" w:rsidRDefault="00431B9C" w:rsidP="0049320F">
            <w:pPr>
              <w:autoSpaceDE/>
              <w:autoSpaceDN/>
              <w:adjustRightInd/>
              <w:spacing w:after="0"/>
              <w:rPr>
                <w:rFonts w:eastAsia="Times New Roman" w:cs="Arial"/>
                <w:sz w:val="20"/>
                <w:szCs w:val="20"/>
                <w:lang w:eastAsia="en-GB"/>
              </w:rPr>
            </w:pPr>
            <w:r>
              <w:rPr>
                <w:rFonts w:cs="Arial"/>
                <w:sz w:val="20"/>
                <w:szCs w:val="20"/>
              </w:rPr>
              <w:t xml:space="preserve">-0.015 </w:t>
            </w:r>
          </w:p>
        </w:tc>
        <w:tc>
          <w:tcPr>
            <w:tcW w:w="1500" w:type="dxa"/>
            <w:tcBorders>
              <w:top w:val="nil"/>
              <w:left w:val="nil"/>
              <w:bottom w:val="single" w:sz="4" w:space="0" w:color="auto"/>
              <w:right w:val="single" w:sz="4" w:space="0" w:color="auto"/>
            </w:tcBorders>
            <w:shd w:val="clear" w:color="000000" w:fill="FFFFFF"/>
            <w:hideMark/>
          </w:tcPr>
          <w:p w14:paraId="38069A5F" w14:textId="77777777" w:rsidR="00431B9C" w:rsidRPr="00B64B4F" w:rsidRDefault="00431B9C" w:rsidP="0049320F">
            <w:pPr>
              <w:autoSpaceDE/>
              <w:autoSpaceDN/>
              <w:adjustRightInd/>
              <w:spacing w:after="0"/>
              <w:rPr>
                <w:rFonts w:eastAsia="Times New Roman" w:cs="Arial"/>
                <w:sz w:val="20"/>
                <w:szCs w:val="20"/>
                <w:lang w:eastAsia="en-GB"/>
              </w:rPr>
            </w:pPr>
            <w:r>
              <w:rPr>
                <w:rFonts w:cs="Arial"/>
                <w:sz w:val="20"/>
                <w:szCs w:val="20"/>
              </w:rPr>
              <w:t xml:space="preserve">-0.015 </w:t>
            </w:r>
          </w:p>
        </w:tc>
        <w:tc>
          <w:tcPr>
            <w:tcW w:w="1500" w:type="dxa"/>
            <w:tcBorders>
              <w:top w:val="nil"/>
              <w:left w:val="nil"/>
              <w:bottom w:val="single" w:sz="4" w:space="0" w:color="auto"/>
              <w:right w:val="single" w:sz="4" w:space="0" w:color="auto"/>
            </w:tcBorders>
            <w:shd w:val="clear" w:color="000000" w:fill="FFFFFF"/>
            <w:hideMark/>
          </w:tcPr>
          <w:p w14:paraId="705D0CD8" w14:textId="77777777" w:rsidR="00431B9C" w:rsidRPr="00B64B4F" w:rsidRDefault="00431B9C" w:rsidP="0049320F">
            <w:pPr>
              <w:autoSpaceDE/>
              <w:autoSpaceDN/>
              <w:adjustRightInd/>
              <w:spacing w:after="0"/>
              <w:rPr>
                <w:rFonts w:eastAsia="Times New Roman" w:cs="Arial"/>
                <w:sz w:val="20"/>
                <w:szCs w:val="20"/>
                <w:lang w:eastAsia="en-GB"/>
              </w:rPr>
            </w:pPr>
            <w:r>
              <w:rPr>
                <w:rFonts w:cs="Arial"/>
                <w:sz w:val="20"/>
                <w:szCs w:val="20"/>
              </w:rPr>
              <w:t xml:space="preserve">0.000 </w:t>
            </w:r>
          </w:p>
        </w:tc>
      </w:tr>
      <w:tr w:rsidR="00431B9C" w:rsidRPr="00B64B4F" w14:paraId="069EAFFE" w14:textId="77777777" w:rsidTr="00431B9C">
        <w:trPr>
          <w:trHeight w:val="527"/>
        </w:trPr>
        <w:tc>
          <w:tcPr>
            <w:tcW w:w="869" w:type="dxa"/>
            <w:tcBorders>
              <w:top w:val="nil"/>
              <w:left w:val="single" w:sz="4" w:space="0" w:color="auto"/>
              <w:bottom w:val="single" w:sz="4" w:space="0" w:color="auto"/>
              <w:right w:val="single" w:sz="4" w:space="0" w:color="auto"/>
            </w:tcBorders>
            <w:shd w:val="clear" w:color="000000" w:fill="FFFFFF"/>
            <w:noWrap/>
            <w:hideMark/>
          </w:tcPr>
          <w:p w14:paraId="13B15F21" w14:textId="2A749443" w:rsidR="00431B9C" w:rsidRPr="00B64B4F" w:rsidRDefault="00622590" w:rsidP="0049320F">
            <w:pPr>
              <w:autoSpaceDE/>
              <w:autoSpaceDN/>
              <w:adjustRightInd/>
              <w:spacing w:after="0"/>
              <w:rPr>
                <w:rFonts w:eastAsia="Times New Roman" w:cs="Arial"/>
                <w:b/>
                <w:bCs/>
                <w:sz w:val="20"/>
                <w:szCs w:val="20"/>
                <w:lang w:eastAsia="en-GB"/>
              </w:rPr>
            </w:pPr>
            <w:r>
              <w:rPr>
                <w:rFonts w:eastAsia="Times New Roman" w:cs="Arial"/>
                <w:b/>
                <w:bCs/>
                <w:sz w:val="20"/>
                <w:szCs w:val="20"/>
                <w:lang w:eastAsia="en-GB"/>
              </w:rPr>
              <w:t>3.6</w:t>
            </w:r>
            <w:r w:rsidR="00431B9C" w:rsidRPr="00B64B4F">
              <w:rPr>
                <w:rFonts w:eastAsia="Times New Roman" w:cs="Arial"/>
                <w:b/>
                <w:bCs/>
                <w:sz w:val="20"/>
                <w:szCs w:val="20"/>
                <w:lang w:eastAsia="en-GB"/>
              </w:rPr>
              <w:t>.14</w:t>
            </w:r>
          </w:p>
        </w:tc>
        <w:tc>
          <w:tcPr>
            <w:tcW w:w="4075" w:type="dxa"/>
            <w:tcBorders>
              <w:top w:val="nil"/>
              <w:left w:val="nil"/>
              <w:bottom w:val="single" w:sz="4" w:space="0" w:color="auto"/>
              <w:right w:val="single" w:sz="4" w:space="0" w:color="auto"/>
            </w:tcBorders>
            <w:shd w:val="clear" w:color="000000" w:fill="FFFFFF"/>
            <w:hideMark/>
          </w:tcPr>
          <w:p w14:paraId="169B4145" w14:textId="77777777" w:rsidR="00431B9C" w:rsidRPr="00B64B4F" w:rsidRDefault="00431B9C" w:rsidP="00A54E39">
            <w:pPr>
              <w:autoSpaceDE/>
              <w:autoSpaceDN/>
              <w:adjustRightInd/>
              <w:spacing w:after="0"/>
              <w:jc w:val="left"/>
              <w:rPr>
                <w:rFonts w:eastAsia="Times New Roman" w:cs="Arial"/>
                <w:sz w:val="20"/>
                <w:szCs w:val="20"/>
                <w:lang w:eastAsia="en-GB"/>
              </w:rPr>
            </w:pPr>
            <w:r>
              <w:rPr>
                <w:rFonts w:cs="Arial"/>
                <w:sz w:val="20"/>
                <w:szCs w:val="20"/>
              </w:rPr>
              <w:t>CORPORATE FINANCE</w:t>
            </w:r>
          </w:p>
        </w:tc>
        <w:tc>
          <w:tcPr>
            <w:tcW w:w="1502" w:type="dxa"/>
            <w:tcBorders>
              <w:top w:val="nil"/>
              <w:left w:val="nil"/>
              <w:bottom w:val="single" w:sz="4" w:space="0" w:color="auto"/>
              <w:right w:val="single" w:sz="4" w:space="0" w:color="auto"/>
            </w:tcBorders>
            <w:shd w:val="clear" w:color="000000" w:fill="FFFFFF"/>
            <w:hideMark/>
          </w:tcPr>
          <w:p w14:paraId="5D23A418" w14:textId="75A3DE55" w:rsidR="00431B9C" w:rsidRPr="00B64B4F" w:rsidRDefault="00431B9C" w:rsidP="0049320F">
            <w:pPr>
              <w:autoSpaceDE/>
              <w:autoSpaceDN/>
              <w:adjustRightInd/>
              <w:spacing w:after="0"/>
              <w:rPr>
                <w:rFonts w:eastAsia="Times New Roman" w:cs="Arial"/>
                <w:sz w:val="20"/>
                <w:szCs w:val="20"/>
                <w:lang w:eastAsia="en-GB"/>
              </w:rPr>
            </w:pPr>
            <w:r>
              <w:rPr>
                <w:rFonts w:cs="Arial"/>
                <w:sz w:val="20"/>
                <w:szCs w:val="20"/>
              </w:rPr>
              <w:t>6.</w:t>
            </w:r>
            <w:r w:rsidR="00594F97">
              <w:rPr>
                <w:rFonts w:cs="Arial"/>
                <w:sz w:val="20"/>
                <w:szCs w:val="20"/>
              </w:rPr>
              <w:t>373</w:t>
            </w:r>
            <w:r>
              <w:rPr>
                <w:rFonts w:cs="Arial"/>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14:paraId="3B5B171E" w14:textId="4513B86C" w:rsidR="00431B9C" w:rsidRPr="00B64B4F" w:rsidRDefault="00431B9C" w:rsidP="0049320F">
            <w:pPr>
              <w:autoSpaceDE/>
              <w:autoSpaceDN/>
              <w:adjustRightInd/>
              <w:spacing w:after="0"/>
              <w:rPr>
                <w:rFonts w:eastAsia="Times New Roman" w:cs="Arial"/>
                <w:sz w:val="20"/>
                <w:szCs w:val="20"/>
                <w:lang w:eastAsia="en-GB"/>
              </w:rPr>
            </w:pPr>
            <w:r>
              <w:rPr>
                <w:rFonts w:cs="Arial"/>
                <w:sz w:val="20"/>
                <w:szCs w:val="20"/>
              </w:rPr>
              <w:t>6.</w:t>
            </w:r>
            <w:r w:rsidR="00594F97">
              <w:rPr>
                <w:rFonts w:cs="Arial"/>
                <w:sz w:val="20"/>
                <w:szCs w:val="20"/>
              </w:rPr>
              <w:t>3</w:t>
            </w:r>
            <w:r w:rsidR="00524679">
              <w:rPr>
                <w:rFonts w:cs="Arial"/>
                <w:sz w:val="20"/>
                <w:szCs w:val="20"/>
              </w:rPr>
              <w:t>2</w:t>
            </w:r>
            <w:r w:rsidR="00594F97">
              <w:rPr>
                <w:rFonts w:cs="Arial"/>
                <w:sz w:val="20"/>
                <w:szCs w:val="20"/>
              </w:rPr>
              <w:t>3</w:t>
            </w:r>
            <w:r>
              <w:rPr>
                <w:rFonts w:cs="Arial"/>
                <w:sz w:val="20"/>
                <w:szCs w:val="20"/>
              </w:rPr>
              <w:t xml:space="preserve"> </w:t>
            </w:r>
          </w:p>
        </w:tc>
        <w:tc>
          <w:tcPr>
            <w:tcW w:w="1500" w:type="dxa"/>
            <w:tcBorders>
              <w:top w:val="nil"/>
              <w:left w:val="nil"/>
              <w:bottom w:val="single" w:sz="4" w:space="0" w:color="auto"/>
              <w:right w:val="single" w:sz="4" w:space="0" w:color="auto"/>
            </w:tcBorders>
            <w:shd w:val="clear" w:color="000000" w:fill="FFFFFF"/>
            <w:hideMark/>
          </w:tcPr>
          <w:p w14:paraId="3092B10B" w14:textId="002E3404" w:rsidR="00431B9C" w:rsidRPr="00B64B4F" w:rsidRDefault="00524679" w:rsidP="0049320F">
            <w:pPr>
              <w:autoSpaceDE/>
              <w:autoSpaceDN/>
              <w:adjustRightInd/>
              <w:spacing w:after="0"/>
              <w:rPr>
                <w:rFonts w:eastAsia="Times New Roman" w:cs="Arial"/>
                <w:sz w:val="20"/>
                <w:szCs w:val="20"/>
                <w:lang w:eastAsia="en-GB"/>
              </w:rPr>
            </w:pPr>
            <w:r>
              <w:rPr>
                <w:rFonts w:cs="Arial"/>
                <w:sz w:val="20"/>
                <w:szCs w:val="20"/>
              </w:rPr>
              <w:t>-0.050</w:t>
            </w:r>
          </w:p>
        </w:tc>
      </w:tr>
      <w:tr w:rsidR="00431B9C" w:rsidRPr="00B64B4F" w14:paraId="1F053771" w14:textId="77777777" w:rsidTr="00431B9C">
        <w:trPr>
          <w:trHeight w:val="263"/>
        </w:trPr>
        <w:tc>
          <w:tcPr>
            <w:tcW w:w="869" w:type="dxa"/>
            <w:tcBorders>
              <w:top w:val="nil"/>
              <w:left w:val="single" w:sz="4" w:space="0" w:color="auto"/>
              <w:bottom w:val="single" w:sz="4" w:space="0" w:color="auto"/>
              <w:right w:val="single" w:sz="4" w:space="0" w:color="auto"/>
            </w:tcBorders>
            <w:shd w:val="clear" w:color="000000" w:fill="FFFFFF"/>
            <w:noWrap/>
            <w:hideMark/>
          </w:tcPr>
          <w:p w14:paraId="10D25135" w14:textId="2920145F" w:rsidR="00431B9C" w:rsidRPr="00B64B4F" w:rsidRDefault="00622590" w:rsidP="0049320F">
            <w:pPr>
              <w:autoSpaceDE/>
              <w:autoSpaceDN/>
              <w:adjustRightInd/>
              <w:spacing w:after="0"/>
              <w:rPr>
                <w:rFonts w:eastAsia="Times New Roman" w:cs="Arial"/>
                <w:b/>
                <w:bCs/>
                <w:sz w:val="20"/>
                <w:szCs w:val="20"/>
                <w:lang w:eastAsia="en-GB"/>
              </w:rPr>
            </w:pPr>
            <w:r>
              <w:rPr>
                <w:rFonts w:eastAsia="Times New Roman" w:cs="Arial"/>
                <w:b/>
                <w:bCs/>
                <w:sz w:val="20"/>
                <w:szCs w:val="20"/>
                <w:lang w:eastAsia="en-GB"/>
              </w:rPr>
              <w:t>3.6</w:t>
            </w:r>
            <w:r w:rsidR="00431B9C" w:rsidRPr="00B64B4F">
              <w:rPr>
                <w:rFonts w:eastAsia="Times New Roman" w:cs="Arial"/>
                <w:b/>
                <w:bCs/>
                <w:sz w:val="20"/>
                <w:szCs w:val="20"/>
                <w:lang w:eastAsia="en-GB"/>
              </w:rPr>
              <w:t>.15</w:t>
            </w:r>
          </w:p>
        </w:tc>
        <w:tc>
          <w:tcPr>
            <w:tcW w:w="4075" w:type="dxa"/>
            <w:tcBorders>
              <w:top w:val="nil"/>
              <w:left w:val="nil"/>
              <w:bottom w:val="single" w:sz="4" w:space="0" w:color="auto"/>
              <w:right w:val="single" w:sz="4" w:space="0" w:color="auto"/>
            </w:tcBorders>
            <w:shd w:val="clear" w:color="000000" w:fill="FFFFFF"/>
            <w:hideMark/>
          </w:tcPr>
          <w:p w14:paraId="6F821EFD" w14:textId="77777777" w:rsidR="00431B9C" w:rsidRPr="00B64B4F" w:rsidRDefault="00431B9C" w:rsidP="00A54E39">
            <w:pPr>
              <w:autoSpaceDE/>
              <w:autoSpaceDN/>
              <w:adjustRightInd/>
              <w:spacing w:after="0"/>
              <w:jc w:val="left"/>
              <w:rPr>
                <w:rFonts w:eastAsia="Times New Roman" w:cs="Arial"/>
                <w:sz w:val="20"/>
                <w:szCs w:val="20"/>
                <w:lang w:eastAsia="en-GB"/>
              </w:rPr>
            </w:pPr>
            <w:r>
              <w:rPr>
                <w:rFonts w:cs="Arial"/>
                <w:sz w:val="20"/>
                <w:szCs w:val="20"/>
              </w:rPr>
              <w:t>GOVERNANCE  FINANCE &amp; PUBLIC SERVICES</w:t>
            </w:r>
          </w:p>
        </w:tc>
        <w:tc>
          <w:tcPr>
            <w:tcW w:w="1502" w:type="dxa"/>
            <w:tcBorders>
              <w:top w:val="nil"/>
              <w:left w:val="nil"/>
              <w:bottom w:val="single" w:sz="4" w:space="0" w:color="auto"/>
              <w:right w:val="single" w:sz="4" w:space="0" w:color="auto"/>
            </w:tcBorders>
            <w:shd w:val="clear" w:color="000000" w:fill="FFFFFF"/>
            <w:hideMark/>
          </w:tcPr>
          <w:p w14:paraId="6DEBCDB6" w14:textId="77777777" w:rsidR="00431B9C" w:rsidRPr="00B64B4F" w:rsidRDefault="00431B9C" w:rsidP="0049320F">
            <w:pPr>
              <w:autoSpaceDE/>
              <w:autoSpaceDN/>
              <w:adjustRightInd/>
              <w:spacing w:after="0"/>
              <w:rPr>
                <w:rFonts w:eastAsia="Times New Roman" w:cs="Arial"/>
                <w:sz w:val="20"/>
                <w:szCs w:val="20"/>
                <w:lang w:eastAsia="en-GB"/>
              </w:rPr>
            </w:pPr>
            <w:r>
              <w:rPr>
                <w:rFonts w:cs="Arial"/>
                <w:sz w:val="20"/>
                <w:szCs w:val="20"/>
              </w:rPr>
              <w:t xml:space="preserve">0.139 </w:t>
            </w:r>
          </w:p>
        </w:tc>
        <w:tc>
          <w:tcPr>
            <w:tcW w:w="1500" w:type="dxa"/>
            <w:tcBorders>
              <w:top w:val="nil"/>
              <w:left w:val="nil"/>
              <w:bottom w:val="single" w:sz="4" w:space="0" w:color="auto"/>
              <w:right w:val="single" w:sz="4" w:space="0" w:color="auto"/>
            </w:tcBorders>
            <w:shd w:val="clear" w:color="000000" w:fill="FFFFFF"/>
            <w:hideMark/>
          </w:tcPr>
          <w:p w14:paraId="0A3FBE6D" w14:textId="77777777" w:rsidR="00431B9C" w:rsidRPr="00B64B4F" w:rsidRDefault="00431B9C" w:rsidP="0049320F">
            <w:pPr>
              <w:autoSpaceDE/>
              <w:autoSpaceDN/>
              <w:adjustRightInd/>
              <w:spacing w:after="0"/>
              <w:rPr>
                <w:rFonts w:eastAsia="Times New Roman" w:cs="Arial"/>
                <w:sz w:val="20"/>
                <w:szCs w:val="20"/>
                <w:lang w:eastAsia="en-GB"/>
              </w:rPr>
            </w:pPr>
            <w:r>
              <w:rPr>
                <w:rFonts w:cs="Arial"/>
                <w:sz w:val="20"/>
                <w:szCs w:val="20"/>
              </w:rPr>
              <w:t xml:space="preserve">0.139 </w:t>
            </w:r>
          </w:p>
        </w:tc>
        <w:tc>
          <w:tcPr>
            <w:tcW w:w="1500" w:type="dxa"/>
            <w:tcBorders>
              <w:top w:val="nil"/>
              <w:left w:val="nil"/>
              <w:bottom w:val="single" w:sz="4" w:space="0" w:color="auto"/>
              <w:right w:val="single" w:sz="4" w:space="0" w:color="auto"/>
            </w:tcBorders>
            <w:shd w:val="clear" w:color="000000" w:fill="FFFFFF"/>
            <w:hideMark/>
          </w:tcPr>
          <w:p w14:paraId="4A790016" w14:textId="77777777" w:rsidR="00431B9C" w:rsidRPr="00B64B4F" w:rsidRDefault="00431B9C" w:rsidP="0049320F">
            <w:pPr>
              <w:autoSpaceDE/>
              <w:autoSpaceDN/>
              <w:adjustRightInd/>
              <w:spacing w:after="0"/>
              <w:rPr>
                <w:rFonts w:eastAsia="Times New Roman" w:cs="Arial"/>
                <w:sz w:val="20"/>
                <w:szCs w:val="20"/>
                <w:lang w:eastAsia="en-GB"/>
              </w:rPr>
            </w:pPr>
            <w:r>
              <w:rPr>
                <w:rFonts w:cs="Arial"/>
                <w:sz w:val="20"/>
                <w:szCs w:val="20"/>
              </w:rPr>
              <w:t xml:space="preserve">0.000 </w:t>
            </w:r>
          </w:p>
        </w:tc>
      </w:tr>
      <w:tr w:rsidR="00431B9C" w:rsidRPr="00B64B4F" w14:paraId="41C62E58" w14:textId="77777777" w:rsidTr="00431B9C">
        <w:trPr>
          <w:trHeight w:val="263"/>
        </w:trPr>
        <w:tc>
          <w:tcPr>
            <w:tcW w:w="869" w:type="dxa"/>
            <w:tcBorders>
              <w:top w:val="nil"/>
              <w:left w:val="single" w:sz="4" w:space="0" w:color="auto"/>
              <w:bottom w:val="single" w:sz="4" w:space="0" w:color="auto"/>
              <w:right w:val="single" w:sz="4" w:space="0" w:color="auto"/>
            </w:tcBorders>
            <w:shd w:val="clear" w:color="000000" w:fill="FFFFFF"/>
            <w:noWrap/>
            <w:hideMark/>
          </w:tcPr>
          <w:p w14:paraId="262CAFA9" w14:textId="59D93207" w:rsidR="00431B9C" w:rsidRPr="00B64B4F" w:rsidRDefault="00622590" w:rsidP="0049320F">
            <w:pPr>
              <w:autoSpaceDE/>
              <w:autoSpaceDN/>
              <w:adjustRightInd/>
              <w:spacing w:after="0"/>
              <w:rPr>
                <w:rFonts w:eastAsia="Times New Roman" w:cs="Arial"/>
                <w:b/>
                <w:bCs/>
                <w:sz w:val="20"/>
                <w:szCs w:val="20"/>
                <w:lang w:eastAsia="en-GB"/>
              </w:rPr>
            </w:pPr>
            <w:r>
              <w:rPr>
                <w:rFonts w:eastAsia="Times New Roman" w:cs="Arial"/>
                <w:b/>
                <w:bCs/>
                <w:sz w:val="20"/>
                <w:szCs w:val="20"/>
                <w:lang w:eastAsia="en-GB"/>
              </w:rPr>
              <w:t>3.6</w:t>
            </w:r>
            <w:r w:rsidR="00431B9C" w:rsidRPr="00B64B4F">
              <w:rPr>
                <w:rFonts w:eastAsia="Times New Roman" w:cs="Arial"/>
                <w:b/>
                <w:bCs/>
                <w:sz w:val="20"/>
                <w:szCs w:val="20"/>
                <w:lang w:eastAsia="en-GB"/>
              </w:rPr>
              <w:t>.16</w:t>
            </w:r>
          </w:p>
        </w:tc>
        <w:tc>
          <w:tcPr>
            <w:tcW w:w="4075" w:type="dxa"/>
            <w:tcBorders>
              <w:top w:val="nil"/>
              <w:left w:val="nil"/>
              <w:bottom w:val="single" w:sz="4" w:space="0" w:color="auto"/>
              <w:right w:val="single" w:sz="4" w:space="0" w:color="auto"/>
            </w:tcBorders>
            <w:shd w:val="clear" w:color="000000" w:fill="FFFFFF"/>
            <w:hideMark/>
          </w:tcPr>
          <w:p w14:paraId="1B5BB66C" w14:textId="77777777" w:rsidR="00431B9C" w:rsidRPr="00B64B4F" w:rsidRDefault="00431B9C" w:rsidP="00A54E39">
            <w:pPr>
              <w:autoSpaceDE/>
              <w:autoSpaceDN/>
              <w:adjustRightInd/>
              <w:spacing w:after="0"/>
              <w:jc w:val="left"/>
              <w:rPr>
                <w:rFonts w:eastAsia="Times New Roman" w:cs="Arial"/>
                <w:sz w:val="20"/>
                <w:szCs w:val="20"/>
                <w:lang w:eastAsia="en-GB"/>
              </w:rPr>
            </w:pPr>
            <w:r>
              <w:rPr>
                <w:rFonts w:cs="Arial"/>
                <w:sz w:val="20"/>
                <w:szCs w:val="20"/>
              </w:rPr>
              <w:t>CORONER'S SERVICE</w:t>
            </w:r>
          </w:p>
        </w:tc>
        <w:tc>
          <w:tcPr>
            <w:tcW w:w="1502" w:type="dxa"/>
            <w:tcBorders>
              <w:top w:val="nil"/>
              <w:left w:val="nil"/>
              <w:bottom w:val="single" w:sz="4" w:space="0" w:color="auto"/>
              <w:right w:val="single" w:sz="4" w:space="0" w:color="auto"/>
            </w:tcBorders>
            <w:shd w:val="clear" w:color="000000" w:fill="FFFFFF"/>
            <w:hideMark/>
          </w:tcPr>
          <w:p w14:paraId="2872006A" w14:textId="77777777" w:rsidR="00431B9C" w:rsidRPr="00B64B4F" w:rsidRDefault="00431B9C" w:rsidP="0049320F">
            <w:pPr>
              <w:autoSpaceDE/>
              <w:autoSpaceDN/>
              <w:adjustRightInd/>
              <w:spacing w:after="0"/>
              <w:rPr>
                <w:rFonts w:eastAsia="Times New Roman" w:cs="Arial"/>
                <w:sz w:val="20"/>
                <w:szCs w:val="20"/>
                <w:lang w:eastAsia="en-GB"/>
              </w:rPr>
            </w:pPr>
            <w:r>
              <w:rPr>
                <w:rFonts w:cs="Arial"/>
                <w:sz w:val="20"/>
                <w:szCs w:val="20"/>
              </w:rPr>
              <w:t xml:space="preserve">2.472 </w:t>
            </w:r>
          </w:p>
        </w:tc>
        <w:tc>
          <w:tcPr>
            <w:tcW w:w="1500" w:type="dxa"/>
            <w:tcBorders>
              <w:top w:val="nil"/>
              <w:left w:val="nil"/>
              <w:bottom w:val="single" w:sz="4" w:space="0" w:color="auto"/>
              <w:right w:val="single" w:sz="4" w:space="0" w:color="auto"/>
            </w:tcBorders>
            <w:shd w:val="clear" w:color="000000" w:fill="FFFFFF"/>
            <w:hideMark/>
          </w:tcPr>
          <w:p w14:paraId="3886984F" w14:textId="77777777" w:rsidR="00431B9C" w:rsidRPr="00B64B4F" w:rsidRDefault="00431B9C" w:rsidP="0049320F">
            <w:pPr>
              <w:autoSpaceDE/>
              <w:autoSpaceDN/>
              <w:adjustRightInd/>
              <w:spacing w:after="0"/>
              <w:rPr>
                <w:rFonts w:eastAsia="Times New Roman" w:cs="Arial"/>
                <w:sz w:val="20"/>
                <w:szCs w:val="20"/>
                <w:lang w:eastAsia="en-GB"/>
              </w:rPr>
            </w:pPr>
            <w:r>
              <w:rPr>
                <w:rFonts w:cs="Arial"/>
                <w:sz w:val="20"/>
                <w:szCs w:val="20"/>
              </w:rPr>
              <w:t xml:space="preserve">2.567 </w:t>
            </w:r>
          </w:p>
        </w:tc>
        <w:tc>
          <w:tcPr>
            <w:tcW w:w="1500" w:type="dxa"/>
            <w:tcBorders>
              <w:top w:val="nil"/>
              <w:left w:val="nil"/>
              <w:bottom w:val="single" w:sz="4" w:space="0" w:color="auto"/>
              <w:right w:val="single" w:sz="4" w:space="0" w:color="auto"/>
            </w:tcBorders>
            <w:shd w:val="clear" w:color="000000" w:fill="FFFFFF"/>
            <w:hideMark/>
          </w:tcPr>
          <w:p w14:paraId="1E8DD236" w14:textId="77777777" w:rsidR="00431B9C" w:rsidRPr="00B64B4F" w:rsidRDefault="00431B9C" w:rsidP="0049320F">
            <w:pPr>
              <w:autoSpaceDE/>
              <w:autoSpaceDN/>
              <w:adjustRightInd/>
              <w:spacing w:after="0"/>
              <w:rPr>
                <w:rFonts w:eastAsia="Times New Roman" w:cs="Arial"/>
                <w:sz w:val="20"/>
                <w:szCs w:val="20"/>
                <w:lang w:eastAsia="en-GB"/>
              </w:rPr>
            </w:pPr>
            <w:r>
              <w:rPr>
                <w:rFonts w:cs="Arial"/>
                <w:sz w:val="20"/>
                <w:szCs w:val="20"/>
              </w:rPr>
              <w:t xml:space="preserve">0.095 </w:t>
            </w:r>
          </w:p>
        </w:tc>
      </w:tr>
      <w:tr w:rsidR="00431B9C" w:rsidRPr="00B64B4F" w14:paraId="2BB02C0C" w14:textId="77777777" w:rsidTr="00431B9C">
        <w:trPr>
          <w:trHeight w:val="527"/>
        </w:trPr>
        <w:tc>
          <w:tcPr>
            <w:tcW w:w="869" w:type="dxa"/>
            <w:tcBorders>
              <w:top w:val="nil"/>
              <w:left w:val="single" w:sz="4" w:space="0" w:color="auto"/>
              <w:bottom w:val="single" w:sz="4" w:space="0" w:color="auto"/>
              <w:right w:val="single" w:sz="4" w:space="0" w:color="auto"/>
            </w:tcBorders>
            <w:shd w:val="clear" w:color="000000" w:fill="FFFFFF"/>
            <w:noWrap/>
            <w:hideMark/>
          </w:tcPr>
          <w:p w14:paraId="6AECBFCE" w14:textId="341D017F" w:rsidR="00431B9C" w:rsidRPr="00B64B4F" w:rsidRDefault="00622590" w:rsidP="0049320F">
            <w:pPr>
              <w:autoSpaceDE/>
              <w:autoSpaceDN/>
              <w:adjustRightInd/>
              <w:spacing w:after="0"/>
              <w:rPr>
                <w:rFonts w:eastAsia="Times New Roman" w:cs="Arial"/>
                <w:b/>
                <w:bCs/>
                <w:sz w:val="20"/>
                <w:szCs w:val="20"/>
                <w:lang w:eastAsia="en-GB"/>
              </w:rPr>
            </w:pPr>
            <w:r>
              <w:rPr>
                <w:rFonts w:eastAsia="Times New Roman" w:cs="Arial"/>
                <w:b/>
                <w:bCs/>
                <w:sz w:val="20"/>
                <w:szCs w:val="20"/>
                <w:lang w:eastAsia="en-GB"/>
              </w:rPr>
              <w:t>3.6</w:t>
            </w:r>
            <w:r w:rsidR="00431B9C" w:rsidRPr="00B64B4F">
              <w:rPr>
                <w:rFonts w:eastAsia="Times New Roman" w:cs="Arial"/>
                <w:b/>
                <w:bCs/>
                <w:sz w:val="20"/>
                <w:szCs w:val="20"/>
                <w:lang w:eastAsia="en-GB"/>
              </w:rPr>
              <w:t>.17</w:t>
            </w:r>
          </w:p>
        </w:tc>
        <w:tc>
          <w:tcPr>
            <w:tcW w:w="4075" w:type="dxa"/>
            <w:tcBorders>
              <w:top w:val="nil"/>
              <w:left w:val="nil"/>
              <w:bottom w:val="single" w:sz="4" w:space="0" w:color="auto"/>
              <w:right w:val="single" w:sz="4" w:space="0" w:color="auto"/>
            </w:tcBorders>
            <w:shd w:val="clear" w:color="000000" w:fill="FFFFFF"/>
            <w:hideMark/>
          </w:tcPr>
          <w:p w14:paraId="178739E0" w14:textId="77777777" w:rsidR="00431B9C" w:rsidRPr="00B64B4F" w:rsidRDefault="00431B9C" w:rsidP="00A54E39">
            <w:pPr>
              <w:autoSpaceDE/>
              <w:autoSpaceDN/>
              <w:adjustRightInd/>
              <w:spacing w:after="0"/>
              <w:jc w:val="left"/>
              <w:rPr>
                <w:rFonts w:eastAsia="Times New Roman" w:cs="Arial"/>
                <w:sz w:val="20"/>
                <w:szCs w:val="20"/>
                <w:lang w:eastAsia="en-GB"/>
              </w:rPr>
            </w:pPr>
            <w:r>
              <w:rPr>
                <w:rFonts w:cs="Arial"/>
                <w:sz w:val="20"/>
                <w:szCs w:val="20"/>
              </w:rPr>
              <w:t>INTERNAL AUDIT</w:t>
            </w:r>
          </w:p>
        </w:tc>
        <w:tc>
          <w:tcPr>
            <w:tcW w:w="1502" w:type="dxa"/>
            <w:tcBorders>
              <w:top w:val="nil"/>
              <w:left w:val="nil"/>
              <w:bottom w:val="single" w:sz="4" w:space="0" w:color="auto"/>
              <w:right w:val="single" w:sz="4" w:space="0" w:color="auto"/>
            </w:tcBorders>
            <w:shd w:val="clear" w:color="000000" w:fill="FFFFFF"/>
            <w:hideMark/>
          </w:tcPr>
          <w:p w14:paraId="39C3F98D" w14:textId="77777777" w:rsidR="00431B9C" w:rsidRPr="00B64B4F" w:rsidRDefault="00431B9C" w:rsidP="0049320F">
            <w:pPr>
              <w:autoSpaceDE/>
              <w:autoSpaceDN/>
              <w:adjustRightInd/>
              <w:spacing w:after="0"/>
              <w:rPr>
                <w:rFonts w:eastAsia="Times New Roman" w:cs="Arial"/>
                <w:sz w:val="20"/>
                <w:szCs w:val="20"/>
                <w:lang w:eastAsia="en-GB"/>
              </w:rPr>
            </w:pPr>
            <w:r>
              <w:rPr>
                <w:rFonts w:cs="Arial"/>
                <w:sz w:val="20"/>
                <w:szCs w:val="20"/>
              </w:rPr>
              <w:t xml:space="preserve">0.528 </w:t>
            </w:r>
          </w:p>
        </w:tc>
        <w:tc>
          <w:tcPr>
            <w:tcW w:w="1500" w:type="dxa"/>
            <w:tcBorders>
              <w:top w:val="nil"/>
              <w:left w:val="nil"/>
              <w:bottom w:val="single" w:sz="4" w:space="0" w:color="auto"/>
              <w:right w:val="single" w:sz="4" w:space="0" w:color="auto"/>
            </w:tcBorders>
            <w:shd w:val="clear" w:color="000000" w:fill="FFFFFF"/>
            <w:hideMark/>
          </w:tcPr>
          <w:p w14:paraId="2E497263" w14:textId="77777777" w:rsidR="00431B9C" w:rsidRPr="00B64B4F" w:rsidRDefault="00431B9C" w:rsidP="0049320F">
            <w:pPr>
              <w:autoSpaceDE/>
              <w:autoSpaceDN/>
              <w:adjustRightInd/>
              <w:spacing w:after="0"/>
              <w:rPr>
                <w:rFonts w:eastAsia="Times New Roman" w:cs="Arial"/>
                <w:sz w:val="20"/>
                <w:szCs w:val="20"/>
                <w:lang w:eastAsia="en-GB"/>
              </w:rPr>
            </w:pPr>
            <w:r>
              <w:rPr>
                <w:rFonts w:cs="Arial"/>
                <w:sz w:val="20"/>
                <w:szCs w:val="20"/>
              </w:rPr>
              <w:t xml:space="preserve">0.528 </w:t>
            </w:r>
          </w:p>
        </w:tc>
        <w:tc>
          <w:tcPr>
            <w:tcW w:w="1500" w:type="dxa"/>
            <w:tcBorders>
              <w:top w:val="nil"/>
              <w:left w:val="nil"/>
              <w:bottom w:val="single" w:sz="4" w:space="0" w:color="auto"/>
              <w:right w:val="single" w:sz="4" w:space="0" w:color="auto"/>
            </w:tcBorders>
            <w:shd w:val="clear" w:color="000000" w:fill="FFFFFF"/>
            <w:hideMark/>
          </w:tcPr>
          <w:p w14:paraId="52B60379" w14:textId="77777777" w:rsidR="00431B9C" w:rsidRPr="00B64B4F" w:rsidRDefault="00431B9C" w:rsidP="0049320F">
            <w:pPr>
              <w:autoSpaceDE/>
              <w:autoSpaceDN/>
              <w:adjustRightInd/>
              <w:spacing w:after="0"/>
              <w:rPr>
                <w:rFonts w:eastAsia="Times New Roman" w:cs="Arial"/>
                <w:sz w:val="20"/>
                <w:szCs w:val="20"/>
                <w:lang w:eastAsia="en-GB"/>
              </w:rPr>
            </w:pPr>
            <w:r>
              <w:rPr>
                <w:rFonts w:cs="Arial"/>
                <w:sz w:val="20"/>
                <w:szCs w:val="20"/>
              </w:rPr>
              <w:t xml:space="preserve">0.000 </w:t>
            </w:r>
          </w:p>
        </w:tc>
      </w:tr>
      <w:tr w:rsidR="00431B9C" w:rsidRPr="00B64B4F" w14:paraId="59979238" w14:textId="77777777" w:rsidTr="00431B9C">
        <w:trPr>
          <w:trHeight w:val="527"/>
        </w:trPr>
        <w:tc>
          <w:tcPr>
            <w:tcW w:w="869" w:type="dxa"/>
            <w:tcBorders>
              <w:top w:val="nil"/>
              <w:left w:val="single" w:sz="4" w:space="0" w:color="auto"/>
              <w:bottom w:val="single" w:sz="4" w:space="0" w:color="auto"/>
              <w:right w:val="single" w:sz="4" w:space="0" w:color="auto"/>
            </w:tcBorders>
            <w:shd w:val="clear" w:color="000000" w:fill="FFFFFF"/>
            <w:noWrap/>
            <w:hideMark/>
          </w:tcPr>
          <w:p w14:paraId="2096A233" w14:textId="44035640" w:rsidR="00431B9C" w:rsidRPr="00B64B4F" w:rsidRDefault="00622590" w:rsidP="0049320F">
            <w:pPr>
              <w:autoSpaceDE/>
              <w:autoSpaceDN/>
              <w:adjustRightInd/>
              <w:spacing w:after="0"/>
              <w:rPr>
                <w:rFonts w:eastAsia="Times New Roman" w:cs="Arial"/>
                <w:b/>
                <w:bCs/>
                <w:sz w:val="20"/>
                <w:szCs w:val="20"/>
                <w:lang w:eastAsia="en-GB"/>
              </w:rPr>
            </w:pPr>
            <w:r>
              <w:rPr>
                <w:rFonts w:eastAsia="Times New Roman" w:cs="Arial"/>
                <w:b/>
                <w:bCs/>
                <w:sz w:val="20"/>
                <w:szCs w:val="20"/>
                <w:lang w:eastAsia="en-GB"/>
              </w:rPr>
              <w:t>3.6</w:t>
            </w:r>
            <w:r w:rsidR="00431B9C" w:rsidRPr="00B64B4F">
              <w:rPr>
                <w:rFonts w:eastAsia="Times New Roman" w:cs="Arial"/>
                <w:b/>
                <w:bCs/>
                <w:sz w:val="20"/>
                <w:szCs w:val="20"/>
                <w:lang w:eastAsia="en-GB"/>
              </w:rPr>
              <w:t>.18</w:t>
            </w:r>
          </w:p>
        </w:tc>
        <w:tc>
          <w:tcPr>
            <w:tcW w:w="4075" w:type="dxa"/>
            <w:tcBorders>
              <w:top w:val="nil"/>
              <w:left w:val="nil"/>
              <w:bottom w:val="single" w:sz="4" w:space="0" w:color="auto"/>
              <w:right w:val="single" w:sz="4" w:space="0" w:color="auto"/>
            </w:tcBorders>
            <w:shd w:val="clear" w:color="000000" w:fill="FFFFFF"/>
            <w:hideMark/>
          </w:tcPr>
          <w:p w14:paraId="4DD95033" w14:textId="77777777" w:rsidR="00431B9C" w:rsidRPr="00B64B4F" w:rsidRDefault="00431B9C" w:rsidP="00A54E39">
            <w:pPr>
              <w:autoSpaceDE/>
              <w:autoSpaceDN/>
              <w:adjustRightInd/>
              <w:spacing w:after="0"/>
              <w:jc w:val="left"/>
              <w:rPr>
                <w:rFonts w:eastAsia="Times New Roman" w:cs="Arial"/>
                <w:sz w:val="20"/>
                <w:szCs w:val="20"/>
                <w:lang w:eastAsia="en-GB"/>
              </w:rPr>
            </w:pPr>
            <w:r>
              <w:rPr>
                <w:rFonts w:cs="Arial"/>
                <w:sz w:val="20"/>
                <w:szCs w:val="20"/>
              </w:rPr>
              <w:t>LEGAL AND DEMOCRATIC SERVICES</w:t>
            </w:r>
          </w:p>
        </w:tc>
        <w:tc>
          <w:tcPr>
            <w:tcW w:w="1502" w:type="dxa"/>
            <w:tcBorders>
              <w:top w:val="nil"/>
              <w:left w:val="nil"/>
              <w:bottom w:val="single" w:sz="4" w:space="0" w:color="auto"/>
              <w:right w:val="single" w:sz="4" w:space="0" w:color="auto"/>
            </w:tcBorders>
            <w:shd w:val="clear" w:color="000000" w:fill="FFFFFF"/>
            <w:hideMark/>
          </w:tcPr>
          <w:p w14:paraId="24E68DEB" w14:textId="77777777" w:rsidR="00431B9C" w:rsidRPr="00B64B4F" w:rsidRDefault="00431B9C" w:rsidP="0049320F">
            <w:pPr>
              <w:autoSpaceDE/>
              <w:autoSpaceDN/>
              <w:adjustRightInd/>
              <w:spacing w:after="0"/>
              <w:rPr>
                <w:rFonts w:eastAsia="Times New Roman" w:cs="Arial"/>
                <w:sz w:val="20"/>
                <w:szCs w:val="20"/>
                <w:lang w:eastAsia="en-GB"/>
              </w:rPr>
            </w:pPr>
            <w:r>
              <w:rPr>
                <w:rFonts w:cs="Arial"/>
                <w:sz w:val="20"/>
                <w:szCs w:val="20"/>
              </w:rPr>
              <w:t xml:space="preserve">13.058 </w:t>
            </w:r>
          </w:p>
        </w:tc>
        <w:tc>
          <w:tcPr>
            <w:tcW w:w="1500" w:type="dxa"/>
            <w:tcBorders>
              <w:top w:val="nil"/>
              <w:left w:val="nil"/>
              <w:bottom w:val="single" w:sz="4" w:space="0" w:color="auto"/>
              <w:right w:val="single" w:sz="4" w:space="0" w:color="auto"/>
            </w:tcBorders>
            <w:shd w:val="clear" w:color="000000" w:fill="FFFFFF"/>
            <w:hideMark/>
          </w:tcPr>
          <w:p w14:paraId="3BDF3E99" w14:textId="77777777" w:rsidR="00431B9C" w:rsidRPr="00B64B4F" w:rsidRDefault="00431B9C" w:rsidP="0049320F">
            <w:pPr>
              <w:autoSpaceDE/>
              <w:autoSpaceDN/>
              <w:adjustRightInd/>
              <w:spacing w:after="0"/>
              <w:rPr>
                <w:rFonts w:eastAsia="Times New Roman" w:cs="Arial"/>
                <w:sz w:val="20"/>
                <w:szCs w:val="20"/>
                <w:lang w:eastAsia="en-GB"/>
              </w:rPr>
            </w:pPr>
            <w:r>
              <w:rPr>
                <w:rFonts w:cs="Arial"/>
                <w:sz w:val="20"/>
                <w:szCs w:val="20"/>
              </w:rPr>
              <w:t xml:space="preserve">12.632 </w:t>
            </w:r>
          </w:p>
        </w:tc>
        <w:tc>
          <w:tcPr>
            <w:tcW w:w="1500" w:type="dxa"/>
            <w:tcBorders>
              <w:top w:val="nil"/>
              <w:left w:val="nil"/>
              <w:bottom w:val="single" w:sz="4" w:space="0" w:color="auto"/>
              <w:right w:val="single" w:sz="4" w:space="0" w:color="auto"/>
            </w:tcBorders>
            <w:shd w:val="clear" w:color="000000" w:fill="FFFFFF"/>
            <w:hideMark/>
          </w:tcPr>
          <w:p w14:paraId="7E713F55" w14:textId="77777777" w:rsidR="00431B9C" w:rsidRPr="00B64B4F" w:rsidRDefault="00431B9C" w:rsidP="0049320F">
            <w:pPr>
              <w:autoSpaceDE/>
              <w:autoSpaceDN/>
              <w:adjustRightInd/>
              <w:spacing w:after="0"/>
              <w:rPr>
                <w:rFonts w:eastAsia="Times New Roman" w:cs="Arial"/>
                <w:sz w:val="20"/>
                <w:szCs w:val="20"/>
                <w:lang w:eastAsia="en-GB"/>
              </w:rPr>
            </w:pPr>
            <w:r>
              <w:rPr>
                <w:rFonts w:cs="Arial"/>
                <w:sz w:val="20"/>
                <w:szCs w:val="20"/>
              </w:rPr>
              <w:t xml:space="preserve">-0.426 </w:t>
            </w:r>
          </w:p>
        </w:tc>
      </w:tr>
      <w:tr w:rsidR="00431B9C" w:rsidRPr="00B64B4F" w14:paraId="23696389" w14:textId="77777777" w:rsidTr="00431B9C">
        <w:trPr>
          <w:trHeight w:val="263"/>
        </w:trPr>
        <w:tc>
          <w:tcPr>
            <w:tcW w:w="869" w:type="dxa"/>
            <w:tcBorders>
              <w:top w:val="nil"/>
              <w:left w:val="single" w:sz="4" w:space="0" w:color="auto"/>
              <w:bottom w:val="single" w:sz="4" w:space="0" w:color="auto"/>
              <w:right w:val="single" w:sz="4" w:space="0" w:color="auto"/>
            </w:tcBorders>
            <w:shd w:val="clear" w:color="000000" w:fill="FFFFFF"/>
            <w:noWrap/>
            <w:hideMark/>
          </w:tcPr>
          <w:p w14:paraId="26D14F61" w14:textId="5097FA51" w:rsidR="00431B9C" w:rsidRPr="00B64B4F" w:rsidRDefault="00622590" w:rsidP="0049320F">
            <w:pPr>
              <w:autoSpaceDE/>
              <w:autoSpaceDN/>
              <w:adjustRightInd/>
              <w:spacing w:after="0"/>
              <w:rPr>
                <w:rFonts w:eastAsia="Times New Roman" w:cs="Arial"/>
                <w:b/>
                <w:bCs/>
                <w:sz w:val="20"/>
                <w:szCs w:val="20"/>
                <w:lang w:eastAsia="en-GB"/>
              </w:rPr>
            </w:pPr>
            <w:r>
              <w:rPr>
                <w:rFonts w:eastAsia="Times New Roman" w:cs="Arial"/>
                <w:b/>
                <w:bCs/>
                <w:sz w:val="20"/>
                <w:szCs w:val="20"/>
                <w:lang w:eastAsia="en-GB"/>
              </w:rPr>
              <w:t>3.6</w:t>
            </w:r>
            <w:r w:rsidR="00431B9C" w:rsidRPr="00B64B4F">
              <w:rPr>
                <w:rFonts w:eastAsia="Times New Roman" w:cs="Arial"/>
                <w:b/>
                <w:bCs/>
                <w:sz w:val="20"/>
                <w:szCs w:val="20"/>
                <w:lang w:eastAsia="en-GB"/>
              </w:rPr>
              <w:t>.19</w:t>
            </w:r>
          </w:p>
        </w:tc>
        <w:tc>
          <w:tcPr>
            <w:tcW w:w="4075" w:type="dxa"/>
            <w:tcBorders>
              <w:top w:val="nil"/>
              <w:left w:val="nil"/>
              <w:bottom w:val="single" w:sz="4" w:space="0" w:color="auto"/>
              <w:right w:val="single" w:sz="4" w:space="0" w:color="auto"/>
            </w:tcBorders>
            <w:shd w:val="clear" w:color="000000" w:fill="FFFFFF"/>
            <w:hideMark/>
          </w:tcPr>
          <w:p w14:paraId="46DEF855" w14:textId="77777777" w:rsidR="00431B9C" w:rsidRPr="00B64B4F" w:rsidRDefault="00431B9C" w:rsidP="00A54E39">
            <w:pPr>
              <w:autoSpaceDE/>
              <w:autoSpaceDN/>
              <w:adjustRightInd/>
              <w:spacing w:after="0"/>
              <w:jc w:val="left"/>
              <w:rPr>
                <w:rFonts w:eastAsia="Times New Roman" w:cs="Arial"/>
                <w:sz w:val="20"/>
                <w:szCs w:val="20"/>
                <w:lang w:eastAsia="en-GB"/>
              </w:rPr>
            </w:pPr>
            <w:r>
              <w:rPr>
                <w:rFonts w:cs="Arial"/>
                <w:sz w:val="20"/>
                <w:szCs w:val="20"/>
              </w:rPr>
              <w:t>LEGAL  DEMOCRATIC &amp; GOVERNANCE</w:t>
            </w:r>
          </w:p>
        </w:tc>
        <w:tc>
          <w:tcPr>
            <w:tcW w:w="1502" w:type="dxa"/>
            <w:tcBorders>
              <w:top w:val="nil"/>
              <w:left w:val="nil"/>
              <w:bottom w:val="single" w:sz="4" w:space="0" w:color="auto"/>
              <w:right w:val="single" w:sz="4" w:space="0" w:color="auto"/>
            </w:tcBorders>
            <w:shd w:val="clear" w:color="000000" w:fill="FFFFFF"/>
            <w:hideMark/>
          </w:tcPr>
          <w:p w14:paraId="72E9A247" w14:textId="77777777" w:rsidR="00431B9C" w:rsidRPr="00B64B4F" w:rsidRDefault="00431B9C" w:rsidP="0049320F">
            <w:pPr>
              <w:autoSpaceDE/>
              <w:autoSpaceDN/>
              <w:adjustRightInd/>
              <w:spacing w:after="0"/>
              <w:rPr>
                <w:rFonts w:eastAsia="Times New Roman" w:cs="Arial"/>
                <w:sz w:val="20"/>
                <w:szCs w:val="20"/>
                <w:lang w:eastAsia="en-GB"/>
              </w:rPr>
            </w:pPr>
            <w:r>
              <w:rPr>
                <w:rFonts w:cs="Arial"/>
                <w:sz w:val="20"/>
                <w:szCs w:val="20"/>
              </w:rPr>
              <w:t xml:space="preserve">0.101 </w:t>
            </w:r>
          </w:p>
        </w:tc>
        <w:tc>
          <w:tcPr>
            <w:tcW w:w="1500" w:type="dxa"/>
            <w:tcBorders>
              <w:top w:val="nil"/>
              <w:left w:val="nil"/>
              <w:bottom w:val="single" w:sz="4" w:space="0" w:color="auto"/>
              <w:right w:val="single" w:sz="4" w:space="0" w:color="auto"/>
            </w:tcBorders>
            <w:shd w:val="clear" w:color="000000" w:fill="FFFFFF"/>
            <w:hideMark/>
          </w:tcPr>
          <w:p w14:paraId="08036FFD" w14:textId="77777777" w:rsidR="00431B9C" w:rsidRPr="00B64B4F" w:rsidRDefault="00431B9C" w:rsidP="0049320F">
            <w:pPr>
              <w:autoSpaceDE/>
              <w:autoSpaceDN/>
              <w:adjustRightInd/>
              <w:spacing w:after="0"/>
              <w:rPr>
                <w:rFonts w:eastAsia="Times New Roman" w:cs="Arial"/>
                <w:sz w:val="20"/>
                <w:szCs w:val="20"/>
                <w:lang w:eastAsia="en-GB"/>
              </w:rPr>
            </w:pPr>
            <w:r>
              <w:rPr>
                <w:rFonts w:cs="Arial"/>
                <w:sz w:val="20"/>
                <w:szCs w:val="20"/>
              </w:rPr>
              <w:t xml:space="preserve">0.101 </w:t>
            </w:r>
          </w:p>
        </w:tc>
        <w:tc>
          <w:tcPr>
            <w:tcW w:w="1500" w:type="dxa"/>
            <w:tcBorders>
              <w:top w:val="nil"/>
              <w:left w:val="nil"/>
              <w:bottom w:val="single" w:sz="4" w:space="0" w:color="auto"/>
              <w:right w:val="single" w:sz="4" w:space="0" w:color="auto"/>
            </w:tcBorders>
            <w:shd w:val="clear" w:color="000000" w:fill="FFFFFF"/>
            <w:hideMark/>
          </w:tcPr>
          <w:p w14:paraId="06EBE97F" w14:textId="77777777" w:rsidR="00431B9C" w:rsidRPr="00B64B4F" w:rsidRDefault="00431B9C" w:rsidP="0049320F">
            <w:pPr>
              <w:autoSpaceDE/>
              <w:autoSpaceDN/>
              <w:adjustRightInd/>
              <w:spacing w:after="0"/>
              <w:rPr>
                <w:rFonts w:eastAsia="Times New Roman" w:cs="Arial"/>
                <w:sz w:val="20"/>
                <w:szCs w:val="20"/>
                <w:lang w:eastAsia="en-GB"/>
              </w:rPr>
            </w:pPr>
            <w:r>
              <w:rPr>
                <w:rFonts w:cs="Arial"/>
                <w:sz w:val="20"/>
                <w:szCs w:val="20"/>
              </w:rPr>
              <w:t xml:space="preserve">0.000 </w:t>
            </w:r>
          </w:p>
        </w:tc>
      </w:tr>
      <w:tr w:rsidR="00431B9C" w:rsidRPr="00B64B4F" w14:paraId="4D574D9A" w14:textId="77777777" w:rsidTr="00431B9C">
        <w:trPr>
          <w:trHeight w:val="263"/>
        </w:trPr>
        <w:tc>
          <w:tcPr>
            <w:tcW w:w="869" w:type="dxa"/>
            <w:tcBorders>
              <w:top w:val="nil"/>
              <w:left w:val="single" w:sz="4" w:space="0" w:color="auto"/>
              <w:bottom w:val="single" w:sz="4" w:space="0" w:color="auto"/>
              <w:right w:val="single" w:sz="4" w:space="0" w:color="auto"/>
            </w:tcBorders>
            <w:shd w:val="clear" w:color="000000" w:fill="D9D9D9"/>
            <w:vAlign w:val="center"/>
            <w:hideMark/>
          </w:tcPr>
          <w:p w14:paraId="1D1C53AA" w14:textId="77777777" w:rsidR="00431B9C" w:rsidRPr="00B64B4F" w:rsidRDefault="00431B9C" w:rsidP="0049320F">
            <w:pPr>
              <w:autoSpaceDE/>
              <w:autoSpaceDN/>
              <w:adjustRightInd/>
              <w:spacing w:after="0"/>
              <w:rPr>
                <w:rFonts w:eastAsia="Times New Roman" w:cs="Arial"/>
                <w:b/>
                <w:bCs/>
                <w:sz w:val="20"/>
                <w:szCs w:val="20"/>
                <w:lang w:eastAsia="en-GB"/>
              </w:rPr>
            </w:pPr>
            <w:r w:rsidRPr="00B64B4F">
              <w:rPr>
                <w:rFonts w:eastAsia="Times New Roman" w:cs="Arial"/>
                <w:b/>
                <w:bCs/>
                <w:sz w:val="20"/>
                <w:szCs w:val="20"/>
                <w:lang w:eastAsia="en-GB"/>
              </w:rPr>
              <w:t> </w:t>
            </w:r>
          </w:p>
        </w:tc>
        <w:tc>
          <w:tcPr>
            <w:tcW w:w="4075" w:type="dxa"/>
            <w:tcBorders>
              <w:top w:val="nil"/>
              <w:left w:val="nil"/>
              <w:bottom w:val="single" w:sz="4" w:space="0" w:color="auto"/>
              <w:right w:val="single" w:sz="4" w:space="0" w:color="auto"/>
            </w:tcBorders>
            <w:shd w:val="clear" w:color="000000" w:fill="D9D9D9"/>
            <w:vAlign w:val="center"/>
            <w:hideMark/>
          </w:tcPr>
          <w:p w14:paraId="62C272E1" w14:textId="77777777" w:rsidR="00431B9C" w:rsidRPr="00B64B4F" w:rsidRDefault="00431B9C" w:rsidP="0049320F">
            <w:pPr>
              <w:autoSpaceDE/>
              <w:autoSpaceDN/>
              <w:adjustRightInd/>
              <w:spacing w:after="0"/>
              <w:rPr>
                <w:rFonts w:eastAsia="Times New Roman" w:cs="Arial"/>
                <w:b/>
                <w:bCs/>
                <w:sz w:val="20"/>
                <w:szCs w:val="20"/>
                <w:lang w:eastAsia="en-GB"/>
              </w:rPr>
            </w:pPr>
            <w:r>
              <w:rPr>
                <w:rFonts w:cs="Arial"/>
                <w:b/>
                <w:bCs/>
                <w:sz w:val="20"/>
                <w:szCs w:val="20"/>
              </w:rPr>
              <w:t>TOTAL - COMMISSIONING</w:t>
            </w:r>
          </w:p>
        </w:tc>
        <w:tc>
          <w:tcPr>
            <w:tcW w:w="1502" w:type="dxa"/>
            <w:tcBorders>
              <w:top w:val="nil"/>
              <w:left w:val="nil"/>
              <w:bottom w:val="single" w:sz="4" w:space="0" w:color="auto"/>
              <w:right w:val="single" w:sz="4" w:space="0" w:color="auto"/>
            </w:tcBorders>
            <w:shd w:val="clear" w:color="000000" w:fill="D9D9D9"/>
            <w:vAlign w:val="center"/>
            <w:hideMark/>
          </w:tcPr>
          <w:p w14:paraId="58BDFE93" w14:textId="7B0E4E31" w:rsidR="00431B9C" w:rsidRPr="00B64B4F" w:rsidRDefault="00431B9C" w:rsidP="0049320F">
            <w:pPr>
              <w:autoSpaceDE/>
              <w:autoSpaceDN/>
              <w:adjustRightInd/>
              <w:spacing w:after="0"/>
              <w:rPr>
                <w:rFonts w:eastAsia="Times New Roman" w:cs="Arial"/>
                <w:b/>
                <w:bCs/>
                <w:sz w:val="20"/>
                <w:szCs w:val="20"/>
                <w:lang w:eastAsia="en-GB"/>
              </w:rPr>
            </w:pPr>
            <w:r>
              <w:rPr>
                <w:rFonts w:cs="Arial"/>
                <w:b/>
                <w:bCs/>
                <w:sz w:val="20"/>
                <w:szCs w:val="20"/>
              </w:rPr>
              <w:t>43.</w:t>
            </w:r>
            <w:r w:rsidR="00594F97">
              <w:rPr>
                <w:rFonts w:cs="Arial"/>
                <w:b/>
                <w:bCs/>
                <w:sz w:val="20"/>
                <w:szCs w:val="20"/>
              </w:rPr>
              <w:t>470</w:t>
            </w:r>
            <w:r>
              <w:rPr>
                <w:rFonts w:cs="Arial"/>
                <w:b/>
                <w:bCs/>
                <w:sz w:val="20"/>
                <w:szCs w:val="20"/>
              </w:rPr>
              <w:t xml:space="preserve"> </w:t>
            </w:r>
          </w:p>
        </w:tc>
        <w:tc>
          <w:tcPr>
            <w:tcW w:w="1500" w:type="dxa"/>
            <w:tcBorders>
              <w:top w:val="nil"/>
              <w:left w:val="nil"/>
              <w:bottom w:val="single" w:sz="4" w:space="0" w:color="auto"/>
              <w:right w:val="single" w:sz="4" w:space="0" w:color="auto"/>
            </w:tcBorders>
            <w:shd w:val="clear" w:color="000000" w:fill="D9D9D9"/>
            <w:vAlign w:val="center"/>
            <w:hideMark/>
          </w:tcPr>
          <w:p w14:paraId="0BDC2945" w14:textId="15243D92" w:rsidR="00431B9C" w:rsidRPr="00B64B4F" w:rsidRDefault="00431B9C" w:rsidP="0049320F">
            <w:pPr>
              <w:autoSpaceDE/>
              <w:autoSpaceDN/>
              <w:adjustRightInd/>
              <w:spacing w:after="0"/>
              <w:rPr>
                <w:rFonts w:eastAsia="Times New Roman" w:cs="Arial"/>
                <w:b/>
                <w:bCs/>
                <w:sz w:val="20"/>
                <w:szCs w:val="20"/>
                <w:lang w:eastAsia="en-GB"/>
              </w:rPr>
            </w:pPr>
            <w:r>
              <w:rPr>
                <w:rFonts w:cs="Arial"/>
                <w:b/>
                <w:bCs/>
                <w:sz w:val="20"/>
                <w:szCs w:val="20"/>
              </w:rPr>
              <w:t>4</w:t>
            </w:r>
            <w:r w:rsidR="00524679">
              <w:rPr>
                <w:rFonts w:cs="Arial"/>
                <w:b/>
                <w:bCs/>
                <w:sz w:val="20"/>
                <w:szCs w:val="20"/>
              </w:rPr>
              <w:t>2</w:t>
            </w:r>
            <w:r w:rsidR="00594F97">
              <w:rPr>
                <w:rFonts w:cs="Arial"/>
                <w:b/>
                <w:bCs/>
                <w:sz w:val="20"/>
                <w:szCs w:val="20"/>
              </w:rPr>
              <w:t>.</w:t>
            </w:r>
            <w:r w:rsidR="00524679">
              <w:rPr>
                <w:rFonts w:cs="Arial"/>
                <w:b/>
                <w:bCs/>
                <w:sz w:val="20"/>
                <w:szCs w:val="20"/>
              </w:rPr>
              <w:t>63</w:t>
            </w:r>
            <w:r w:rsidR="00594F97">
              <w:rPr>
                <w:rFonts w:cs="Arial"/>
                <w:b/>
                <w:bCs/>
                <w:sz w:val="20"/>
                <w:szCs w:val="20"/>
              </w:rPr>
              <w:t>9</w:t>
            </w:r>
            <w:r>
              <w:rPr>
                <w:rFonts w:cs="Arial"/>
                <w:b/>
                <w:bCs/>
                <w:sz w:val="20"/>
                <w:szCs w:val="20"/>
              </w:rPr>
              <w:t xml:space="preserve"> </w:t>
            </w:r>
          </w:p>
        </w:tc>
        <w:tc>
          <w:tcPr>
            <w:tcW w:w="1500" w:type="dxa"/>
            <w:tcBorders>
              <w:top w:val="nil"/>
              <w:left w:val="nil"/>
              <w:bottom w:val="single" w:sz="4" w:space="0" w:color="auto"/>
              <w:right w:val="single" w:sz="4" w:space="0" w:color="auto"/>
            </w:tcBorders>
            <w:shd w:val="clear" w:color="000000" w:fill="D9D9D9"/>
            <w:vAlign w:val="center"/>
            <w:hideMark/>
          </w:tcPr>
          <w:p w14:paraId="1827E3B5" w14:textId="74AF936F" w:rsidR="00431B9C" w:rsidRPr="00B64B4F" w:rsidRDefault="00431B9C" w:rsidP="0049320F">
            <w:pPr>
              <w:autoSpaceDE/>
              <w:autoSpaceDN/>
              <w:adjustRightInd/>
              <w:spacing w:after="0"/>
              <w:rPr>
                <w:rFonts w:eastAsia="Times New Roman" w:cs="Arial"/>
                <w:b/>
                <w:bCs/>
                <w:sz w:val="20"/>
                <w:szCs w:val="20"/>
                <w:lang w:eastAsia="en-GB"/>
              </w:rPr>
            </w:pPr>
            <w:r>
              <w:rPr>
                <w:rFonts w:cs="Arial"/>
                <w:b/>
                <w:bCs/>
                <w:sz w:val="20"/>
                <w:szCs w:val="20"/>
              </w:rPr>
              <w:t>-</w:t>
            </w:r>
            <w:r w:rsidR="00524679">
              <w:rPr>
                <w:rFonts w:cs="Arial"/>
                <w:b/>
                <w:bCs/>
                <w:sz w:val="20"/>
                <w:szCs w:val="20"/>
              </w:rPr>
              <w:t>0.8</w:t>
            </w:r>
            <w:r>
              <w:rPr>
                <w:rFonts w:cs="Arial"/>
                <w:b/>
                <w:bCs/>
                <w:sz w:val="20"/>
                <w:szCs w:val="20"/>
              </w:rPr>
              <w:t xml:space="preserve">31 </w:t>
            </w:r>
          </w:p>
        </w:tc>
      </w:tr>
    </w:tbl>
    <w:p w14:paraId="2948E54A" w14:textId="77777777" w:rsidR="00431B9C" w:rsidRDefault="00431B9C" w:rsidP="0049320F">
      <w:pPr>
        <w:tabs>
          <w:tab w:val="left" w:pos="851"/>
          <w:tab w:val="left" w:pos="1418"/>
        </w:tabs>
        <w:spacing w:after="0"/>
        <w:rPr>
          <w:rFonts w:cs="Arial"/>
        </w:rPr>
      </w:pPr>
    </w:p>
    <w:p w14:paraId="7A9B818B" w14:textId="7A28BC32" w:rsidR="00431B9C" w:rsidRPr="00161FFE" w:rsidRDefault="00431B9C" w:rsidP="0049320F">
      <w:pPr>
        <w:autoSpaceDE/>
        <w:autoSpaceDN/>
        <w:adjustRightInd/>
        <w:spacing w:after="0"/>
        <w:rPr>
          <w:rFonts w:cs="Arial"/>
        </w:rPr>
      </w:pPr>
      <w:r w:rsidRPr="00161FFE">
        <w:rPr>
          <w:rFonts w:cs="Arial"/>
        </w:rPr>
        <w:t>The total net approved budget for Commissioning Services in 2016/17 is £43.</w:t>
      </w:r>
      <w:r w:rsidR="008F3D84" w:rsidRPr="00161FFE">
        <w:rPr>
          <w:rFonts w:cs="Arial"/>
        </w:rPr>
        <w:t>470</w:t>
      </w:r>
      <w:r w:rsidRPr="00161FFE">
        <w:rPr>
          <w:rFonts w:cs="Arial"/>
        </w:rPr>
        <w:t>m.  As at the end of quarter 1, the service i</w:t>
      </w:r>
      <w:r w:rsidR="00CB3546" w:rsidRPr="00161FFE">
        <w:rPr>
          <w:rFonts w:cs="Arial"/>
        </w:rPr>
        <w:t>s forecast to underspend by £0.8</w:t>
      </w:r>
      <w:r w:rsidRPr="00161FFE">
        <w:rPr>
          <w:rFonts w:cs="Arial"/>
        </w:rPr>
        <w:t>31</w:t>
      </w:r>
      <w:r w:rsidR="0010126B" w:rsidRPr="00161FFE">
        <w:rPr>
          <w:rFonts w:cs="Arial"/>
        </w:rPr>
        <w:t>m.</w:t>
      </w:r>
    </w:p>
    <w:p w14:paraId="368814DB" w14:textId="77777777" w:rsidR="00431B9C" w:rsidRPr="00161FFE" w:rsidRDefault="00431B9C" w:rsidP="0049320F">
      <w:pPr>
        <w:tabs>
          <w:tab w:val="left" w:pos="851"/>
          <w:tab w:val="left" w:pos="1418"/>
        </w:tabs>
        <w:spacing w:after="0"/>
        <w:contextualSpacing/>
        <w:rPr>
          <w:rFonts w:cs="Arial"/>
        </w:rPr>
      </w:pPr>
    </w:p>
    <w:p w14:paraId="1D94E044" w14:textId="550738B3" w:rsidR="00431B9C" w:rsidRPr="00161FFE" w:rsidRDefault="00431B9C" w:rsidP="0049320F">
      <w:pPr>
        <w:tabs>
          <w:tab w:val="left" w:pos="851"/>
          <w:tab w:val="left" w:pos="1418"/>
        </w:tabs>
        <w:spacing w:after="0"/>
        <w:contextualSpacing/>
        <w:rPr>
          <w:rFonts w:cs="Arial"/>
          <w:b/>
        </w:rPr>
      </w:pPr>
      <w:r w:rsidRPr="00161FFE">
        <w:rPr>
          <w:rFonts w:cs="Arial"/>
          <w:b/>
        </w:rPr>
        <w:t>3.</w:t>
      </w:r>
      <w:r w:rsidR="00622590" w:rsidRPr="00161FFE">
        <w:rPr>
          <w:rFonts w:cs="Arial"/>
          <w:b/>
        </w:rPr>
        <w:t>6</w:t>
      </w:r>
      <w:r w:rsidRPr="00161FFE">
        <w:rPr>
          <w:rFonts w:cs="Arial"/>
          <w:b/>
        </w:rPr>
        <w:t>.3</w:t>
      </w:r>
      <w:r w:rsidRPr="00161FFE">
        <w:rPr>
          <w:rFonts w:cs="Arial"/>
          <w:b/>
        </w:rPr>
        <w:tab/>
        <w:t>Asset Management</w:t>
      </w:r>
    </w:p>
    <w:p w14:paraId="736C47D9" w14:textId="77777777" w:rsidR="00431B9C" w:rsidRPr="00161FFE" w:rsidRDefault="00431B9C" w:rsidP="0049320F">
      <w:pPr>
        <w:tabs>
          <w:tab w:val="left" w:pos="851"/>
          <w:tab w:val="left" w:pos="1418"/>
        </w:tabs>
        <w:spacing w:after="0"/>
        <w:contextualSpacing/>
        <w:rPr>
          <w:rFonts w:cs="Arial"/>
        </w:rPr>
      </w:pPr>
    </w:p>
    <w:p w14:paraId="2816BA4E" w14:textId="19640E54" w:rsidR="00431B9C" w:rsidRPr="00161FFE" w:rsidRDefault="00431B9C" w:rsidP="0049320F">
      <w:pPr>
        <w:tabs>
          <w:tab w:val="left" w:pos="851"/>
          <w:tab w:val="left" w:pos="1418"/>
        </w:tabs>
        <w:spacing w:after="0"/>
        <w:contextualSpacing/>
        <w:rPr>
          <w:rFonts w:cs="Arial"/>
        </w:rPr>
      </w:pPr>
      <w:r w:rsidRPr="00161FFE">
        <w:rPr>
          <w:rFonts w:cs="Arial"/>
        </w:rPr>
        <w:t>No variance from budget is forecast f</w:t>
      </w:r>
      <w:r w:rsidR="0010126B" w:rsidRPr="00161FFE">
        <w:rPr>
          <w:rFonts w:cs="Arial"/>
        </w:rPr>
        <w:t xml:space="preserve">or Asset Management in 2016/17. </w:t>
      </w:r>
      <w:r w:rsidRPr="00161FFE">
        <w:rPr>
          <w:rFonts w:cs="Arial"/>
        </w:rPr>
        <w:t>The forecast includes</w:t>
      </w:r>
      <w:r w:rsidR="0010126B" w:rsidRPr="00161FFE">
        <w:rPr>
          <w:rFonts w:cs="Arial"/>
        </w:rPr>
        <w:t xml:space="preserve"> </w:t>
      </w:r>
      <w:r w:rsidR="00B931A6" w:rsidRPr="00161FFE">
        <w:rPr>
          <w:rFonts w:cs="Arial"/>
        </w:rPr>
        <w:t>savings</w:t>
      </w:r>
      <w:r w:rsidR="0010126B" w:rsidRPr="00161FFE">
        <w:rPr>
          <w:rFonts w:cs="Arial"/>
        </w:rPr>
        <w:t xml:space="preserve"> of £0.391m which is offset by</w:t>
      </w:r>
      <w:r w:rsidRPr="00161FFE">
        <w:rPr>
          <w:rFonts w:cs="Arial"/>
        </w:rPr>
        <w:t xml:space="preserve"> the </w:t>
      </w:r>
      <w:r w:rsidR="0010126B" w:rsidRPr="00161FFE">
        <w:rPr>
          <w:rFonts w:cs="Arial"/>
        </w:rPr>
        <w:t>approved</w:t>
      </w:r>
      <w:r w:rsidRPr="00161FFE">
        <w:rPr>
          <w:rFonts w:cs="Arial"/>
        </w:rPr>
        <w:t xml:space="preserve"> application of non-recurrent funding of £0.341m from the Transitional Reserve</w:t>
      </w:r>
      <w:r w:rsidR="0010126B" w:rsidRPr="00161FFE">
        <w:rPr>
          <w:rFonts w:cs="Arial"/>
        </w:rPr>
        <w:t xml:space="preserve">. The forecast also includes </w:t>
      </w:r>
      <w:r w:rsidRPr="00161FFE">
        <w:rPr>
          <w:rFonts w:cs="Arial"/>
        </w:rPr>
        <w:t>a contribution from the Schools PFI Reserves of £0.070m and a contribution to the PFI BSF Reserve of £0.560m to fund BSF PFI costs over the life of the PFI contracts.</w:t>
      </w:r>
    </w:p>
    <w:p w14:paraId="6CB62B1B" w14:textId="77777777" w:rsidR="00845D4F" w:rsidRPr="00161FFE" w:rsidRDefault="00845D4F" w:rsidP="0049320F">
      <w:pPr>
        <w:tabs>
          <w:tab w:val="left" w:pos="851"/>
          <w:tab w:val="left" w:pos="1418"/>
        </w:tabs>
        <w:spacing w:after="0"/>
        <w:contextualSpacing/>
        <w:rPr>
          <w:rFonts w:cs="Arial"/>
        </w:rPr>
      </w:pPr>
    </w:p>
    <w:p w14:paraId="23A0A89E" w14:textId="77777777" w:rsidR="00845D4F" w:rsidRPr="00161FFE" w:rsidRDefault="00845D4F" w:rsidP="0049320F">
      <w:pPr>
        <w:tabs>
          <w:tab w:val="left" w:pos="851"/>
          <w:tab w:val="left" w:pos="1418"/>
        </w:tabs>
        <w:spacing w:after="0"/>
        <w:contextualSpacing/>
        <w:rPr>
          <w:rFonts w:cs="Arial"/>
        </w:rPr>
      </w:pPr>
    </w:p>
    <w:p w14:paraId="4AAEAC99" w14:textId="77777777" w:rsidR="00845D4F" w:rsidRPr="00161FFE" w:rsidRDefault="00845D4F" w:rsidP="0049320F">
      <w:pPr>
        <w:tabs>
          <w:tab w:val="left" w:pos="851"/>
          <w:tab w:val="left" w:pos="1418"/>
        </w:tabs>
        <w:spacing w:after="0"/>
        <w:contextualSpacing/>
        <w:rPr>
          <w:rFonts w:cs="Arial"/>
        </w:rPr>
      </w:pPr>
    </w:p>
    <w:p w14:paraId="0AF61D3A" w14:textId="77777777" w:rsidR="00431B9C" w:rsidRPr="00161FFE" w:rsidRDefault="00431B9C" w:rsidP="0049320F">
      <w:pPr>
        <w:tabs>
          <w:tab w:val="left" w:pos="851"/>
          <w:tab w:val="left" w:pos="1418"/>
        </w:tabs>
        <w:spacing w:after="0"/>
        <w:contextualSpacing/>
        <w:rPr>
          <w:rFonts w:cs="Arial"/>
        </w:rPr>
      </w:pPr>
    </w:p>
    <w:p w14:paraId="2DB044B3" w14:textId="53F9419E" w:rsidR="0010126B" w:rsidRPr="00161FFE" w:rsidRDefault="00622590" w:rsidP="0049320F">
      <w:pPr>
        <w:tabs>
          <w:tab w:val="left" w:pos="851"/>
          <w:tab w:val="left" w:pos="1418"/>
        </w:tabs>
        <w:spacing w:after="0"/>
        <w:rPr>
          <w:rFonts w:cs="Arial"/>
          <w:b/>
        </w:rPr>
      </w:pPr>
      <w:r w:rsidRPr="00161FFE">
        <w:rPr>
          <w:rFonts w:cs="Arial"/>
          <w:b/>
        </w:rPr>
        <w:lastRenderedPageBreak/>
        <w:t>3.6</w:t>
      </w:r>
      <w:r w:rsidR="00431B9C" w:rsidRPr="00161FFE">
        <w:rPr>
          <w:rFonts w:cs="Arial"/>
          <w:b/>
        </w:rPr>
        <w:t xml:space="preserve">.4 </w:t>
      </w:r>
      <w:r w:rsidR="00431B9C" w:rsidRPr="00161FFE">
        <w:rPr>
          <w:rFonts w:cs="Arial"/>
          <w:b/>
        </w:rPr>
        <w:tab/>
        <w:t>Policy, Informa</w:t>
      </w:r>
      <w:r w:rsidR="0010126B" w:rsidRPr="00161FFE">
        <w:rPr>
          <w:rFonts w:cs="Arial"/>
          <w:b/>
        </w:rPr>
        <w:t>tion and Commissioning Age Well</w:t>
      </w:r>
    </w:p>
    <w:p w14:paraId="259E49D0" w14:textId="57F3345D" w:rsidR="00431B9C" w:rsidRPr="00161FFE" w:rsidRDefault="00622590" w:rsidP="0049320F">
      <w:pPr>
        <w:tabs>
          <w:tab w:val="left" w:pos="851"/>
          <w:tab w:val="left" w:pos="1418"/>
        </w:tabs>
        <w:spacing w:after="0"/>
        <w:rPr>
          <w:rFonts w:cs="Arial"/>
          <w:b/>
        </w:rPr>
      </w:pPr>
      <w:r w:rsidRPr="00161FFE">
        <w:rPr>
          <w:rFonts w:cs="Arial"/>
          <w:b/>
        </w:rPr>
        <w:t>3.6</w:t>
      </w:r>
      <w:r w:rsidR="00431B9C" w:rsidRPr="00161FFE">
        <w:rPr>
          <w:rFonts w:cs="Arial"/>
          <w:b/>
        </w:rPr>
        <w:t xml:space="preserve">.5 </w:t>
      </w:r>
      <w:r w:rsidR="00431B9C" w:rsidRPr="00161FFE">
        <w:rPr>
          <w:rFonts w:cs="Arial"/>
          <w:b/>
        </w:rPr>
        <w:tab/>
        <w:t>Policy, Information and Commissioning Live</w:t>
      </w:r>
      <w:r w:rsidR="0010126B" w:rsidRPr="00161FFE">
        <w:rPr>
          <w:rFonts w:cs="Arial"/>
          <w:b/>
        </w:rPr>
        <w:t xml:space="preserve"> Well</w:t>
      </w:r>
    </w:p>
    <w:p w14:paraId="44828635" w14:textId="3AC0AC00" w:rsidR="00431B9C" w:rsidRPr="00161FFE" w:rsidRDefault="00431B9C" w:rsidP="0049320F">
      <w:pPr>
        <w:tabs>
          <w:tab w:val="left" w:pos="851"/>
          <w:tab w:val="left" w:pos="1418"/>
        </w:tabs>
        <w:spacing w:after="0"/>
        <w:contextualSpacing/>
        <w:rPr>
          <w:rFonts w:cs="Arial"/>
          <w:b/>
        </w:rPr>
      </w:pPr>
      <w:r w:rsidRPr="00161FFE">
        <w:rPr>
          <w:rFonts w:cs="Arial"/>
          <w:b/>
        </w:rPr>
        <w:t>3.</w:t>
      </w:r>
      <w:r w:rsidR="00622590" w:rsidRPr="00161FFE">
        <w:rPr>
          <w:rFonts w:cs="Arial"/>
          <w:b/>
        </w:rPr>
        <w:t>6</w:t>
      </w:r>
      <w:r w:rsidRPr="00161FFE">
        <w:rPr>
          <w:rFonts w:cs="Arial"/>
          <w:b/>
        </w:rPr>
        <w:t>.6</w:t>
      </w:r>
      <w:r w:rsidRPr="00161FFE">
        <w:rPr>
          <w:rFonts w:cs="Arial"/>
          <w:b/>
        </w:rPr>
        <w:tab/>
        <w:t>Policy, Information and Commissioning Start Well</w:t>
      </w:r>
    </w:p>
    <w:p w14:paraId="5E636A55" w14:textId="77777777" w:rsidR="00431B9C" w:rsidRPr="00161FFE" w:rsidRDefault="00431B9C" w:rsidP="0049320F">
      <w:pPr>
        <w:tabs>
          <w:tab w:val="left" w:pos="851"/>
          <w:tab w:val="left" w:pos="1418"/>
        </w:tabs>
        <w:spacing w:after="0"/>
        <w:contextualSpacing/>
        <w:rPr>
          <w:rFonts w:cs="Arial"/>
        </w:rPr>
      </w:pPr>
    </w:p>
    <w:p w14:paraId="26F318DF" w14:textId="55F39A73" w:rsidR="00431B9C" w:rsidRPr="00161FFE" w:rsidRDefault="00431B9C" w:rsidP="0049320F">
      <w:pPr>
        <w:tabs>
          <w:tab w:val="left" w:pos="851"/>
          <w:tab w:val="left" w:pos="1418"/>
        </w:tabs>
        <w:spacing w:after="0"/>
        <w:contextualSpacing/>
        <w:rPr>
          <w:rFonts w:cs="Arial"/>
        </w:rPr>
      </w:pPr>
      <w:r w:rsidRPr="00161FFE">
        <w:rPr>
          <w:rFonts w:cs="Arial"/>
        </w:rPr>
        <w:t xml:space="preserve">No variance from budget is forecast for </w:t>
      </w:r>
      <w:r w:rsidR="0010126B" w:rsidRPr="00161FFE">
        <w:rPr>
          <w:rFonts w:cs="Arial"/>
        </w:rPr>
        <w:t xml:space="preserve">the </w:t>
      </w:r>
      <w:r w:rsidRPr="00161FFE">
        <w:rPr>
          <w:rFonts w:cs="Arial"/>
        </w:rPr>
        <w:t xml:space="preserve">Policy, Information and Commissioning </w:t>
      </w:r>
      <w:r w:rsidR="0010126B" w:rsidRPr="00161FFE">
        <w:rPr>
          <w:rFonts w:cs="Arial"/>
        </w:rPr>
        <w:t xml:space="preserve">Teams for Start Well, Live Well and </w:t>
      </w:r>
      <w:r w:rsidRPr="00161FFE">
        <w:rPr>
          <w:rFonts w:cs="Arial"/>
        </w:rPr>
        <w:t>Age Well in 2016/17.</w:t>
      </w:r>
    </w:p>
    <w:p w14:paraId="570DDC41" w14:textId="77777777" w:rsidR="00431B9C" w:rsidRPr="00161FFE" w:rsidRDefault="00431B9C" w:rsidP="0049320F">
      <w:pPr>
        <w:tabs>
          <w:tab w:val="left" w:pos="851"/>
          <w:tab w:val="left" w:pos="1418"/>
        </w:tabs>
        <w:spacing w:after="0"/>
        <w:contextualSpacing/>
        <w:rPr>
          <w:rFonts w:cs="Arial"/>
        </w:rPr>
      </w:pPr>
    </w:p>
    <w:p w14:paraId="0A7D179A" w14:textId="51E6D5E6" w:rsidR="00431B9C" w:rsidRPr="00161FFE" w:rsidRDefault="00431B9C" w:rsidP="0049320F">
      <w:pPr>
        <w:tabs>
          <w:tab w:val="left" w:pos="851"/>
          <w:tab w:val="left" w:pos="1418"/>
        </w:tabs>
        <w:spacing w:after="0"/>
        <w:contextualSpacing/>
        <w:rPr>
          <w:rFonts w:cs="Arial"/>
        </w:rPr>
      </w:pPr>
      <w:r w:rsidRPr="00161FFE">
        <w:rPr>
          <w:rFonts w:cs="Arial"/>
        </w:rPr>
        <w:t>The forecast includes</w:t>
      </w:r>
      <w:r w:rsidR="003C6329" w:rsidRPr="00161FFE">
        <w:rPr>
          <w:rFonts w:cs="Arial"/>
        </w:rPr>
        <w:t xml:space="preserve"> the approved saving of £1.337m and is offset by £0.922m from the approved</w:t>
      </w:r>
      <w:r w:rsidRPr="00161FFE">
        <w:rPr>
          <w:rFonts w:cs="Arial"/>
        </w:rPr>
        <w:t xml:space="preserve"> application of </w:t>
      </w:r>
      <w:r w:rsidR="003C6329" w:rsidRPr="00161FFE">
        <w:rPr>
          <w:rFonts w:cs="Arial"/>
        </w:rPr>
        <w:t>the Transitional Reserve. Approval was given to draw down £1.337m from the transitional reserve, however due to early delivery of savings the reduced amount of £0.922</w:t>
      </w:r>
      <w:r w:rsidR="00101492" w:rsidRPr="00161FFE">
        <w:rPr>
          <w:rFonts w:cs="Arial"/>
        </w:rPr>
        <w:t>m</w:t>
      </w:r>
      <w:r w:rsidR="003C6329" w:rsidRPr="00161FFE">
        <w:rPr>
          <w:rFonts w:cs="Arial"/>
        </w:rPr>
        <w:t xml:space="preserve"> is required. </w:t>
      </w:r>
    </w:p>
    <w:p w14:paraId="7CE0DFBE" w14:textId="77777777" w:rsidR="003C6329" w:rsidRPr="00161FFE" w:rsidRDefault="003C6329" w:rsidP="0049320F">
      <w:pPr>
        <w:tabs>
          <w:tab w:val="left" w:pos="851"/>
          <w:tab w:val="left" w:pos="1418"/>
        </w:tabs>
        <w:spacing w:after="0"/>
        <w:contextualSpacing/>
        <w:rPr>
          <w:rFonts w:cs="Arial"/>
        </w:rPr>
      </w:pPr>
    </w:p>
    <w:p w14:paraId="7BFF33A7" w14:textId="087C8B5F" w:rsidR="00431B9C" w:rsidRPr="00161FFE" w:rsidRDefault="00622590" w:rsidP="0049320F">
      <w:pPr>
        <w:tabs>
          <w:tab w:val="left" w:pos="851"/>
          <w:tab w:val="left" w:pos="1418"/>
        </w:tabs>
        <w:spacing w:after="0"/>
        <w:contextualSpacing/>
        <w:rPr>
          <w:rFonts w:cs="Arial"/>
          <w:b/>
        </w:rPr>
      </w:pPr>
      <w:r w:rsidRPr="00161FFE">
        <w:rPr>
          <w:rFonts w:cs="Arial"/>
          <w:b/>
        </w:rPr>
        <w:t>3.6</w:t>
      </w:r>
      <w:r w:rsidR="00431B9C" w:rsidRPr="00161FFE">
        <w:rPr>
          <w:rFonts w:cs="Arial"/>
          <w:b/>
        </w:rPr>
        <w:t>.7</w:t>
      </w:r>
      <w:r w:rsidR="00431B9C" w:rsidRPr="00161FFE">
        <w:rPr>
          <w:rFonts w:cs="Arial"/>
          <w:b/>
        </w:rPr>
        <w:tab/>
        <w:t>Procurement</w:t>
      </w:r>
    </w:p>
    <w:p w14:paraId="086D7D2A" w14:textId="77777777" w:rsidR="00431B9C" w:rsidRPr="00161FFE" w:rsidRDefault="00431B9C" w:rsidP="0049320F">
      <w:pPr>
        <w:tabs>
          <w:tab w:val="left" w:pos="851"/>
          <w:tab w:val="left" w:pos="1418"/>
        </w:tabs>
        <w:spacing w:after="0"/>
        <w:rPr>
          <w:rFonts w:cs="Arial"/>
        </w:rPr>
      </w:pPr>
    </w:p>
    <w:p w14:paraId="6B677285" w14:textId="77777777" w:rsidR="00431B9C" w:rsidRPr="00161FFE" w:rsidRDefault="00431B9C" w:rsidP="0049320F">
      <w:pPr>
        <w:tabs>
          <w:tab w:val="left" w:pos="851"/>
          <w:tab w:val="left" w:pos="1418"/>
        </w:tabs>
        <w:spacing w:after="0"/>
        <w:rPr>
          <w:rFonts w:cs="Arial"/>
        </w:rPr>
      </w:pPr>
      <w:r w:rsidRPr="00161FFE">
        <w:rPr>
          <w:rFonts w:cs="Arial"/>
        </w:rPr>
        <w:t>No variance from budget is forecast for Procurement in 2016/17.</w:t>
      </w:r>
    </w:p>
    <w:p w14:paraId="7AA15658" w14:textId="77777777" w:rsidR="00431B9C" w:rsidRPr="00161FFE" w:rsidRDefault="00431B9C" w:rsidP="0049320F">
      <w:pPr>
        <w:tabs>
          <w:tab w:val="left" w:pos="851"/>
          <w:tab w:val="left" w:pos="1418"/>
        </w:tabs>
        <w:spacing w:after="0"/>
        <w:rPr>
          <w:rFonts w:cs="Arial"/>
        </w:rPr>
      </w:pPr>
    </w:p>
    <w:p w14:paraId="73F6DE27" w14:textId="064669AA" w:rsidR="00431609" w:rsidRPr="00161FFE" w:rsidRDefault="00431609" w:rsidP="0049320F">
      <w:pPr>
        <w:tabs>
          <w:tab w:val="left" w:pos="851"/>
          <w:tab w:val="left" w:pos="1418"/>
        </w:tabs>
        <w:spacing w:after="0"/>
        <w:contextualSpacing/>
        <w:rPr>
          <w:rFonts w:cs="Arial"/>
        </w:rPr>
      </w:pPr>
      <w:r w:rsidRPr="00161FFE">
        <w:rPr>
          <w:rFonts w:cs="Arial"/>
        </w:rPr>
        <w:t>The forecast includes the approved saving of £0.416m, however this is offset by the approved application of non-recurrent reserves funding of £0.416m from the Transitional Reserve to cover staff costs.</w:t>
      </w:r>
    </w:p>
    <w:p w14:paraId="6323FF49" w14:textId="77777777" w:rsidR="00431B9C" w:rsidRPr="00161FFE" w:rsidRDefault="00431B9C" w:rsidP="0049320F">
      <w:pPr>
        <w:tabs>
          <w:tab w:val="left" w:pos="851"/>
          <w:tab w:val="left" w:pos="1418"/>
        </w:tabs>
        <w:spacing w:after="0"/>
        <w:rPr>
          <w:rFonts w:cs="Arial"/>
        </w:rPr>
      </w:pPr>
    </w:p>
    <w:p w14:paraId="77057BF7" w14:textId="4533EDB4" w:rsidR="00431B9C" w:rsidRPr="00161FFE" w:rsidRDefault="00431B9C" w:rsidP="0049320F">
      <w:pPr>
        <w:tabs>
          <w:tab w:val="left" w:pos="851"/>
          <w:tab w:val="left" w:pos="1418"/>
        </w:tabs>
        <w:spacing w:after="0"/>
        <w:contextualSpacing/>
        <w:rPr>
          <w:rFonts w:cs="Arial"/>
          <w:b/>
        </w:rPr>
      </w:pPr>
      <w:r w:rsidRPr="00161FFE">
        <w:rPr>
          <w:rFonts w:cs="Arial"/>
          <w:b/>
        </w:rPr>
        <w:t>3.</w:t>
      </w:r>
      <w:r w:rsidR="00622590" w:rsidRPr="00161FFE">
        <w:rPr>
          <w:rFonts w:cs="Arial"/>
          <w:b/>
        </w:rPr>
        <w:t>6</w:t>
      </w:r>
      <w:r w:rsidRPr="00161FFE">
        <w:rPr>
          <w:rFonts w:cs="Arial"/>
          <w:b/>
        </w:rPr>
        <w:t>.8</w:t>
      </w:r>
      <w:r w:rsidRPr="00161FFE">
        <w:rPr>
          <w:rFonts w:cs="Arial"/>
          <w:b/>
        </w:rPr>
        <w:tab/>
        <w:t>Business Intelligence</w:t>
      </w:r>
    </w:p>
    <w:p w14:paraId="2871BAE0" w14:textId="77777777" w:rsidR="00431B9C" w:rsidRPr="00161FFE" w:rsidRDefault="00431B9C" w:rsidP="0049320F">
      <w:pPr>
        <w:tabs>
          <w:tab w:val="left" w:pos="851"/>
          <w:tab w:val="left" w:pos="1418"/>
        </w:tabs>
        <w:spacing w:after="0"/>
        <w:contextualSpacing/>
        <w:rPr>
          <w:rFonts w:cs="Arial"/>
        </w:rPr>
      </w:pPr>
    </w:p>
    <w:p w14:paraId="2E1AFEDD" w14:textId="77777777" w:rsidR="00431B9C" w:rsidRPr="00161FFE" w:rsidRDefault="00431B9C" w:rsidP="0049320F">
      <w:pPr>
        <w:tabs>
          <w:tab w:val="left" w:pos="851"/>
          <w:tab w:val="left" w:pos="1418"/>
        </w:tabs>
        <w:spacing w:after="0"/>
        <w:contextualSpacing/>
        <w:rPr>
          <w:rFonts w:cs="Arial"/>
        </w:rPr>
      </w:pPr>
      <w:r w:rsidRPr="00161FFE">
        <w:rPr>
          <w:rFonts w:cs="Arial"/>
        </w:rPr>
        <w:t>No variance from budget is forecast for Business Intelligence in 2016/17.</w:t>
      </w:r>
    </w:p>
    <w:p w14:paraId="5CB035CE" w14:textId="77777777" w:rsidR="00431B9C" w:rsidRPr="00161FFE" w:rsidRDefault="00431B9C" w:rsidP="0049320F">
      <w:pPr>
        <w:tabs>
          <w:tab w:val="left" w:pos="851"/>
          <w:tab w:val="left" w:pos="1418"/>
        </w:tabs>
        <w:spacing w:after="0"/>
        <w:contextualSpacing/>
        <w:rPr>
          <w:rFonts w:cs="Arial"/>
        </w:rPr>
      </w:pPr>
    </w:p>
    <w:p w14:paraId="6F0D11A6" w14:textId="1B503A0E" w:rsidR="00431B9C" w:rsidRPr="00161FFE" w:rsidRDefault="00431B9C" w:rsidP="0049320F">
      <w:pPr>
        <w:tabs>
          <w:tab w:val="left" w:pos="851"/>
          <w:tab w:val="left" w:pos="1418"/>
        </w:tabs>
        <w:spacing w:after="0"/>
        <w:contextualSpacing/>
        <w:rPr>
          <w:rFonts w:cs="Arial"/>
        </w:rPr>
      </w:pPr>
      <w:r w:rsidRPr="00161FFE">
        <w:rPr>
          <w:rFonts w:cs="Arial"/>
        </w:rPr>
        <w:t xml:space="preserve">The forecast includes the </w:t>
      </w:r>
      <w:r w:rsidR="00431609" w:rsidRPr="00161FFE">
        <w:rPr>
          <w:rFonts w:cs="Arial"/>
        </w:rPr>
        <w:t>approved saving of £0.555</w:t>
      </w:r>
      <w:r w:rsidR="003C6329" w:rsidRPr="00161FFE">
        <w:rPr>
          <w:rFonts w:cs="Arial"/>
        </w:rPr>
        <w:t>m, however this is offset by the approved</w:t>
      </w:r>
      <w:r w:rsidRPr="00161FFE">
        <w:rPr>
          <w:rFonts w:cs="Arial"/>
        </w:rPr>
        <w:t xml:space="preserve"> application of non-recurrent reserves funding of £0.477m from the Transitional Reserve to cover staff costs.</w:t>
      </w:r>
      <w:r w:rsidR="00431609" w:rsidRPr="00161FFE">
        <w:rPr>
          <w:rFonts w:cs="Arial"/>
        </w:rPr>
        <w:t xml:space="preserve"> </w:t>
      </w:r>
    </w:p>
    <w:p w14:paraId="636B0A22" w14:textId="77777777" w:rsidR="00431B9C" w:rsidRPr="00161FFE" w:rsidRDefault="00431B9C" w:rsidP="0049320F">
      <w:pPr>
        <w:tabs>
          <w:tab w:val="left" w:pos="851"/>
          <w:tab w:val="left" w:pos="1418"/>
        </w:tabs>
        <w:spacing w:after="0"/>
        <w:contextualSpacing/>
        <w:rPr>
          <w:rFonts w:cs="Arial"/>
        </w:rPr>
      </w:pPr>
    </w:p>
    <w:p w14:paraId="297E449B" w14:textId="1865A046" w:rsidR="00431B9C" w:rsidRPr="00161FFE" w:rsidRDefault="00431B9C" w:rsidP="0049320F">
      <w:pPr>
        <w:tabs>
          <w:tab w:val="left" w:pos="851"/>
          <w:tab w:val="left" w:pos="1418"/>
        </w:tabs>
        <w:spacing w:after="0"/>
        <w:contextualSpacing/>
        <w:rPr>
          <w:rFonts w:cs="Arial"/>
          <w:b/>
        </w:rPr>
      </w:pPr>
      <w:r w:rsidRPr="00161FFE">
        <w:rPr>
          <w:rFonts w:cs="Arial"/>
          <w:b/>
        </w:rPr>
        <w:t>3.</w:t>
      </w:r>
      <w:r w:rsidR="00622590" w:rsidRPr="00161FFE">
        <w:rPr>
          <w:rFonts w:cs="Arial"/>
          <w:b/>
        </w:rPr>
        <w:t>6</w:t>
      </w:r>
      <w:r w:rsidRPr="00161FFE">
        <w:rPr>
          <w:rFonts w:cs="Arial"/>
          <w:b/>
        </w:rPr>
        <w:t>.9</w:t>
      </w:r>
      <w:r w:rsidR="00431609" w:rsidRPr="00161FFE">
        <w:rPr>
          <w:rFonts w:cs="Arial"/>
          <w:b/>
        </w:rPr>
        <w:tab/>
        <w:t>Financial Resources</w:t>
      </w:r>
    </w:p>
    <w:p w14:paraId="5ABC68A1" w14:textId="0DC26AFC" w:rsidR="00431B9C" w:rsidRPr="00161FFE" w:rsidRDefault="00431B9C" w:rsidP="0049320F">
      <w:pPr>
        <w:tabs>
          <w:tab w:val="left" w:pos="851"/>
          <w:tab w:val="left" w:pos="1418"/>
        </w:tabs>
        <w:spacing w:after="0"/>
        <w:rPr>
          <w:rFonts w:cs="Arial"/>
          <w:b/>
        </w:rPr>
      </w:pPr>
      <w:r w:rsidRPr="00161FFE">
        <w:rPr>
          <w:rFonts w:cs="Arial"/>
          <w:b/>
        </w:rPr>
        <w:t>3.</w:t>
      </w:r>
      <w:r w:rsidR="00622590" w:rsidRPr="00161FFE">
        <w:rPr>
          <w:rFonts w:cs="Arial"/>
          <w:b/>
        </w:rPr>
        <w:t>6</w:t>
      </w:r>
      <w:r w:rsidRPr="00161FFE">
        <w:rPr>
          <w:rFonts w:cs="Arial"/>
          <w:b/>
        </w:rPr>
        <w:t>.10</w:t>
      </w:r>
      <w:r w:rsidRPr="00161FFE">
        <w:rPr>
          <w:rFonts w:cs="Arial"/>
          <w:b/>
        </w:rPr>
        <w:tab/>
        <w:t>Exchequer Services</w:t>
      </w:r>
    </w:p>
    <w:p w14:paraId="66F1B8CD" w14:textId="65F14CFB" w:rsidR="00431B9C" w:rsidRPr="00161FFE" w:rsidRDefault="00431B9C" w:rsidP="0049320F">
      <w:pPr>
        <w:tabs>
          <w:tab w:val="left" w:pos="851"/>
          <w:tab w:val="left" w:pos="1418"/>
        </w:tabs>
        <w:spacing w:after="0"/>
        <w:rPr>
          <w:rFonts w:cs="Arial"/>
          <w:b/>
        </w:rPr>
      </w:pPr>
      <w:r w:rsidRPr="00161FFE">
        <w:rPr>
          <w:rFonts w:cs="Arial"/>
          <w:b/>
        </w:rPr>
        <w:t>3.</w:t>
      </w:r>
      <w:r w:rsidR="00622590" w:rsidRPr="00161FFE">
        <w:rPr>
          <w:rFonts w:cs="Arial"/>
          <w:b/>
        </w:rPr>
        <w:t>6</w:t>
      </w:r>
      <w:r w:rsidRPr="00161FFE">
        <w:rPr>
          <w:rFonts w:cs="Arial"/>
          <w:b/>
        </w:rPr>
        <w:t>.11</w:t>
      </w:r>
      <w:r w:rsidRPr="00161FFE">
        <w:rPr>
          <w:rFonts w:cs="Arial"/>
          <w:b/>
        </w:rPr>
        <w:tab/>
        <w:t>Financial Manag</w:t>
      </w:r>
      <w:r w:rsidR="00431609" w:rsidRPr="00161FFE">
        <w:rPr>
          <w:rFonts w:cs="Arial"/>
          <w:b/>
        </w:rPr>
        <w:t>ement (Development and Schools)</w:t>
      </w:r>
    </w:p>
    <w:p w14:paraId="05C0E821" w14:textId="5E2D5862" w:rsidR="00431B9C" w:rsidRPr="00161FFE" w:rsidRDefault="00622590" w:rsidP="0049320F">
      <w:pPr>
        <w:tabs>
          <w:tab w:val="left" w:pos="851"/>
          <w:tab w:val="left" w:pos="1418"/>
        </w:tabs>
        <w:spacing w:after="0"/>
        <w:contextualSpacing/>
        <w:rPr>
          <w:rFonts w:cs="Arial"/>
          <w:b/>
        </w:rPr>
      </w:pPr>
      <w:r w:rsidRPr="00161FFE">
        <w:rPr>
          <w:rFonts w:cs="Arial"/>
          <w:b/>
        </w:rPr>
        <w:t>3.6</w:t>
      </w:r>
      <w:r w:rsidR="00431B9C" w:rsidRPr="00161FFE">
        <w:rPr>
          <w:rFonts w:cs="Arial"/>
          <w:b/>
        </w:rPr>
        <w:t>.12</w:t>
      </w:r>
      <w:r w:rsidR="00431B9C" w:rsidRPr="00161FFE">
        <w:rPr>
          <w:rFonts w:cs="Arial"/>
          <w:b/>
        </w:rPr>
        <w:tab/>
        <w:t>Fin</w:t>
      </w:r>
      <w:r w:rsidR="00431609" w:rsidRPr="00161FFE">
        <w:rPr>
          <w:rFonts w:cs="Arial"/>
          <w:b/>
        </w:rPr>
        <w:t>ancial Management (Operational)</w:t>
      </w:r>
    </w:p>
    <w:p w14:paraId="183F2ED6" w14:textId="0CA4991F" w:rsidR="00431B9C" w:rsidRPr="00161FFE" w:rsidRDefault="00622590" w:rsidP="0049320F">
      <w:pPr>
        <w:tabs>
          <w:tab w:val="left" w:pos="851"/>
          <w:tab w:val="left" w:pos="1418"/>
        </w:tabs>
        <w:spacing w:after="0"/>
        <w:contextualSpacing/>
        <w:rPr>
          <w:rFonts w:cs="Arial"/>
          <w:b/>
        </w:rPr>
      </w:pPr>
      <w:r w:rsidRPr="00161FFE">
        <w:rPr>
          <w:rFonts w:cs="Arial"/>
          <w:b/>
        </w:rPr>
        <w:t>3.6</w:t>
      </w:r>
      <w:r w:rsidR="00431B9C" w:rsidRPr="00161FFE">
        <w:rPr>
          <w:rFonts w:cs="Arial"/>
          <w:b/>
        </w:rPr>
        <w:t>.13</w:t>
      </w:r>
      <w:r w:rsidR="00431B9C" w:rsidRPr="00161FFE">
        <w:rPr>
          <w:rFonts w:cs="Arial"/>
          <w:b/>
        </w:rPr>
        <w:tab/>
        <w:t>Office of the Police and Crime Commissioner Treasurer</w:t>
      </w:r>
    </w:p>
    <w:p w14:paraId="1F0E31B1" w14:textId="1DC8510C" w:rsidR="00431B9C" w:rsidRPr="00161FFE" w:rsidRDefault="00431B9C" w:rsidP="0049320F">
      <w:pPr>
        <w:tabs>
          <w:tab w:val="left" w:pos="851"/>
          <w:tab w:val="left" w:pos="1418"/>
        </w:tabs>
        <w:spacing w:after="0"/>
        <w:rPr>
          <w:rFonts w:cs="Arial"/>
          <w:b/>
        </w:rPr>
      </w:pPr>
      <w:r w:rsidRPr="00161FFE">
        <w:rPr>
          <w:rFonts w:cs="Arial"/>
          <w:b/>
        </w:rPr>
        <w:t>3.</w:t>
      </w:r>
      <w:r w:rsidR="00622590" w:rsidRPr="00161FFE">
        <w:rPr>
          <w:rFonts w:cs="Arial"/>
          <w:b/>
        </w:rPr>
        <w:t>6</w:t>
      </w:r>
      <w:r w:rsidRPr="00161FFE">
        <w:rPr>
          <w:rFonts w:cs="Arial"/>
          <w:b/>
        </w:rPr>
        <w:t>.14</w:t>
      </w:r>
      <w:r w:rsidR="00431609" w:rsidRPr="00161FFE">
        <w:rPr>
          <w:rFonts w:cs="Arial"/>
          <w:b/>
        </w:rPr>
        <w:tab/>
        <w:t>Corporate Finance</w:t>
      </w:r>
    </w:p>
    <w:p w14:paraId="28DA0AE2" w14:textId="77777777" w:rsidR="00431609" w:rsidRPr="00161FFE" w:rsidRDefault="00431609" w:rsidP="0049320F">
      <w:pPr>
        <w:tabs>
          <w:tab w:val="left" w:pos="851"/>
          <w:tab w:val="left" w:pos="1418"/>
        </w:tabs>
        <w:spacing w:after="0"/>
        <w:rPr>
          <w:rFonts w:cs="Arial"/>
          <w:b/>
        </w:rPr>
      </w:pPr>
    </w:p>
    <w:p w14:paraId="6ABF5D0D" w14:textId="4D51B43D" w:rsidR="00431609" w:rsidRPr="00161FFE" w:rsidRDefault="005165D2" w:rsidP="0049320F">
      <w:pPr>
        <w:tabs>
          <w:tab w:val="left" w:pos="851"/>
          <w:tab w:val="left" w:pos="1418"/>
        </w:tabs>
        <w:spacing w:after="0"/>
        <w:rPr>
          <w:rFonts w:cs="Arial"/>
        </w:rPr>
      </w:pPr>
      <w:proofErr w:type="gramStart"/>
      <w:r w:rsidRPr="00161FFE">
        <w:rPr>
          <w:rFonts w:cs="Arial"/>
        </w:rPr>
        <w:t>An underspend</w:t>
      </w:r>
      <w:proofErr w:type="gramEnd"/>
      <w:r w:rsidRPr="00161FFE">
        <w:rPr>
          <w:rFonts w:cs="Arial"/>
        </w:rPr>
        <w:t xml:space="preserve"> of £0.500m is currently forecast f</w:t>
      </w:r>
      <w:r w:rsidR="00431609" w:rsidRPr="00161FFE">
        <w:rPr>
          <w:rFonts w:cs="Arial"/>
        </w:rPr>
        <w:t>or Financial Resources</w:t>
      </w:r>
      <w:r w:rsidRPr="00161FFE">
        <w:rPr>
          <w:rFonts w:cs="Arial"/>
        </w:rPr>
        <w:t xml:space="preserve"> due to staff vacancies</w:t>
      </w:r>
      <w:r w:rsidR="00431609" w:rsidRPr="00161FFE">
        <w:rPr>
          <w:rFonts w:cs="Arial"/>
        </w:rPr>
        <w:t xml:space="preserve">. The forecast includes the delivery of £0.911m of savings. </w:t>
      </w:r>
    </w:p>
    <w:p w14:paraId="74B7FE3D" w14:textId="77777777" w:rsidR="00431B9C" w:rsidRPr="00161FFE" w:rsidRDefault="00431B9C" w:rsidP="0049320F">
      <w:pPr>
        <w:tabs>
          <w:tab w:val="left" w:pos="851"/>
          <w:tab w:val="left" w:pos="1418"/>
        </w:tabs>
        <w:spacing w:after="0"/>
        <w:contextualSpacing/>
        <w:rPr>
          <w:rFonts w:cs="Arial"/>
        </w:rPr>
      </w:pPr>
    </w:p>
    <w:p w14:paraId="51A16A83" w14:textId="7B26342E" w:rsidR="00431B9C" w:rsidRPr="00161FFE" w:rsidRDefault="00431B9C" w:rsidP="0049320F">
      <w:pPr>
        <w:tabs>
          <w:tab w:val="left" w:pos="851"/>
          <w:tab w:val="left" w:pos="1418"/>
        </w:tabs>
        <w:spacing w:after="0"/>
        <w:rPr>
          <w:rFonts w:cs="Arial"/>
          <w:b/>
        </w:rPr>
      </w:pPr>
      <w:r w:rsidRPr="00161FFE">
        <w:rPr>
          <w:rFonts w:cs="Arial"/>
          <w:b/>
        </w:rPr>
        <w:t>3.</w:t>
      </w:r>
      <w:r w:rsidR="00622590" w:rsidRPr="00161FFE">
        <w:rPr>
          <w:rFonts w:cs="Arial"/>
          <w:b/>
        </w:rPr>
        <w:t>6</w:t>
      </w:r>
      <w:r w:rsidRPr="00161FFE">
        <w:rPr>
          <w:rFonts w:cs="Arial"/>
          <w:b/>
        </w:rPr>
        <w:t>.17</w:t>
      </w:r>
      <w:r w:rsidRPr="00161FFE">
        <w:rPr>
          <w:rFonts w:cs="Arial"/>
          <w:b/>
        </w:rPr>
        <w:tab/>
        <w:t>Internal Audit</w:t>
      </w:r>
    </w:p>
    <w:p w14:paraId="38800346" w14:textId="77777777" w:rsidR="00431B9C" w:rsidRPr="00161FFE" w:rsidRDefault="00431B9C" w:rsidP="0049320F">
      <w:pPr>
        <w:tabs>
          <w:tab w:val="left" w:pos="851"/>
          <w:tab w:val="left" w:pos="1418"/>
        </w:tabs>
        <w:spacing w:after="0"/>
        <w:contextualSpacing/>
        <w:rPr>
          <w:rFonts w:cs="Arial"/>
        </w:rPr>
      </w:pPr>
    </w:p>
    <w:p w14:paraId="220A6C8C" w14:textId="77777777" w:rsidR="00431B9C" w:rsidRPr="00161FFE" w:rsidRDefault="00431B9C" w:rsidP="0049320F">
      <w:pPr>
        <w:tabs>
          <w:tab w:val="left" w:pos="851"/>
          <w:tab w:val="left" w:pos="1418"/>
        </w:tabs>
        <w:spacing w:after="0"/>
        <w:contextualSpacing/>
        <w:rPr>
          <w:rFonts w:cs="Arial"/>
        </w:rPr>
      </w:pPr>
      <w:r w:rsidRPr="00161FFE">
        <w:rPr>
          <w:rFonts w:cs="Arial"/>
        </w:rPr>
        <w:t>No variance from budget is forecast for Internal Audit in 2016/17.</w:t>
      </w:r>
    </w:p>
    <w:p w14:paraId="04F301B7" w14:textId="77777777" w:rsidR="00431B9C" w:rsidRPr="00161FFE" w:rsidRDefault="00431B9C" w:rsidP="0049320F">
      <w:pPr>
        <w:tabs>
          <w:tab w:val="left" w:pos="851"/>
          <w:tab w:val="left" w:pos="1418"/>
        </w:tabs>
        <w:spacing w:after="0"/>
        <w:contextualSpacing/>
        <w:rPr>
          <w:rFonts w:cs="Arial"/>
        </w:rPr>
      </w:pPr>
    </w:p>
    <w:p w14:paraId="79958E90" w14:textId="156B38EE" w:rsidR="00431B9C" w:rsidRPr="00161FFE" w:rsidRDefault="00622590" w:rsidP="0049320F">
      <w:pPr>
        <w:tabs>
          <w:tab w:val="left" w:pos="851"/>
          <w:tab w:val="left" w:pos="1418"/>
        </w:tabs>
        <w:spacing w:after="0"/>
        <w:rPr>
          <w:rFonts w:cs="Arial"/>
          <w:b/>
        </w:rPr>
      </w:pPr>
      <w:r w:rsidRPr="00161FFE">
        <w:rPr>
          <w:rFonts w:cs="Arial"/>
          <w:b/>
        </w:rPr>
        <w:t>3.6</w:t>
      </w:r>
      <w:r w:rsidR="00431B9C" w:rsidRPr="00161FFE">
        <w:rPr>
          <w:rFonts w:cs="Arial"/>
          <w:b/>
        </w:rPr>
        <w:t>.18</w:t>
      </w:r>
      <w:r w:rsidR="00431B9C" w:rsidRPr="00161FFE">
        <w:rPr>
          <w:rFonts w:cs="Arial"/>
          <w:b/>
        </w:rPr>
        <w:tab/>
        <w:t>Legal and Democratic Services</w:t>
      </w:r>
    </w:p>
    <w:p w14:paraId="798B1648" w14:textId="77777777" w:rsidR="00431B9C" w:rsidRPr="00161FFE" w:rsidRDefault="00431B9C" w:rsidP="0049320F">
      <w:pPr>
        <w:spacing w:after="0"/>
        <w:contextualSpacing/>
        <w:rPr>
          <w:rFonts w:cs="Arial"/>
        </w:rPr>
      </w:pPr>
    </w:p>
    <w:p w14:paraId="67E2BE9E" w14:textId="77777777" w:rsidR="00431B9C" w:rsidRPr="00161FFE" w:rsidRDefault="00431B9C" w:rsidP="0049320F">
      <w:pPr>
        <w:spacing w:after="0"/>
        <w:contextualSpacing/>
        <w:rPr>
          <w:rFonts w:cs="Arial"/>
        </w:rPr>
      </w:pPr>
      <w:r w:rsidRPr="00161FFE">
        <w:rPr>
          <w:rFonts w:cs="Arial"/>
        </w:rPr>
        <w:t xml:space="preserve">Legal and Democratic Services is forecast to underspend by £0.426m in 2016/17.  </w:t>
      </w:r>
    </w:p>
    <w:p w14:paraId="00B793FC" w14:textId="77777777" w:rsidR="00431B9C" w:rsidRPr="00161FFE" w:rsidRDefault="00431B9C" w:rsidP="0049320F">
      <w:pPr>
        <w:spacing w:after="0"/>
        <w:contextualSpacing/>
        <w:rPr>
          <w:rFonts w:cs="Arial"/>
        </w:rPr>
      </w:pPr>
    </w:p>
    <w:p w14:paraId="1DB4E332" w14:textId="77777777" w:rsidR="00431B9C" w:rsidRPr="00161FFE" w:rsidRDefault="00431B9C" w:rsidP="0049320F">
      <w:pPr>
        <w:pStyle w:val="ListParagraph"/>
        <w:numPr>
          <w:ilvl w:val="0"/>
          <w:numId w:val="28"/>
        </w:numPr>
        <w:autoSpaceDE/>
        <w:autoSpaceDN/>
        <w:adjustRightInd/>
        <w:spacing w:after="0"/>
        <w:rPr>
          <w:rFonts w:cs="Arial"/>
        </w:rPr>
      </w:pPr>
      <w:r w:rsidRPr="00161FFE">
        <w:rPr>
          <w:rFonts w:cs="Arial"/>
        </w:rPr>
        <w:t>Management Legal and Democratic Services is forecast to underspend by £0.204m which relates to staff costs.</w:t>
      </w:r>
    </w:p>
    <w:p w14:paraId="3F7CB4EE" w14:textId="77777777" w:rsidR="00431B9C" w:rsidRPr="00161FFE" w:rsidRDefault="00431B9C" w:rsidP="0049320F">
      <w:pPr>
        <w:pStyle w:val="ListParagraph"/>
        <w:numPr>
          <w:ilvl w:val="0"/>
          <w:numId w:val="28"/>
        </w:numPr>
        <w:autoSpaceDE/>
        <w:autoSpaceDN/>
        <w:adjustRightInd/>
        <w:spacing w:after="0"/>
        <w:rPr>
          <w:rFonts w:cs="Arial"/>
        </w:rPr>
      </w:pPr>
      <w:r w:rsidRPr="00161FFE">
        <w:rPr>
          <w:rFonts w:cs="Arial"/>
        </w:rPr>
        <w:t>Democratic Services is forecast to underspend by £0.129m which largely relates to staff costs.</w:t>
      </w:r>
    </w:p>
    <w:p w14:paraId="2E35E38B" w14:textId="447FC572" w:rsidR="00431B9C" w:rsidRPr="00161FFE" w:rsidRDefault="00431B9C" w:rsidP="0049320F">
      <w:pPr>
        <w:pStyle w:val="ListParagraph"/>
        <w:numPr>
          <w:ilvl w:val="0"/>
          <w:numId w:val="28"/>
        </w:numPr>
        <w:autoSpaceDE/>
        <w:autoSpaceDN/>
        <w:adjustRightInd/>
        <w:spacing w:after="0"/>
        <w:rPr>
          <w:rFonts w:cs="Arial"/>
        </w:rPr>
      </w:pPr>
      <w:r w:rsidRPr="00161FFE">
        <w:rPr>
          <w:rFonts w:cs="Arial"/>
        </w:rPr>
        <w:t xml:space="preserve">Legal Services is forecast to underspend by £0.093m of which £0.318m relates to staff costs offset by overspends of £0.089m which relates to non-staff costs </w:t>
      </w:r>
      <w:r w:rsidRPr="00161FFE">
        <w:rPr>
          <w:rFonts w:cs="Arial"/>
        </w:rPr>
        <w:lastRenderedPageBreak/>
        <w:t xml:space="preserve">including printing and legal fees and overspends or under recovery of income </w:t>
      </w:r>
      <w:r w:rsidR="00CA35AF" w:rsidRPr="00161FFE">
        <w:rPr>
          <w:rFonts w:cs="Arial"/>
        </w:rPr>
        <w:t xml:space="preserve">against budget </w:t>
      </w:r>
      <w:r w:rsidRPr="00161FFE">
        <w:rPr>
          <w:rFonts w:cs="Arial"/>
        </w:rPr>
        <w:t xml:space="preserve">of £0.145m across a number of income streams. </w:t>
      </w:r>
    </w:p>
    <w:p w14:paraId="64671BD1" w14:textId="77777777" w:rsidR="00431B9C" w:rsidRPr="00161FFE" w:rsidRDefault="00431B9C" w:rsidP="0049320F">
      <w:pPr>
        <w:spacing w:after="0"/>
        <w:contextualSpacing/>
        <w:rPr>
          <w:rFonts w:cs="Arial"/>
        </w:rPr>
      </w:pPr>
    </w:p>
    <w:p w14:paraId="62A31656" w14:textId="4049D1E2" w:rsidR="00431B9C" w:rsidRPr="00161FFE" w:rsidRDefault="00431609" w:rsidP="0049320F">
      <w:pPr>
        <w:spacing w:after="0"/>
        <w:contextualSpacing/>
        <w:rPr>
          <w:rFonts w:cs="Arial"/>
        </w:rPr>
      </w:pPr>
      <w:r w:rsidRPr="00161FFE">
        <w:rPr>
          <w:rFonts w:cs="Arial"/>
        </w:rPr>
        <w:t xml:space="preserve">The forecast </w:t>
      </w:r>
      <w:r w:rsidR="00AA19DF" w:rsidRPr="00161FFE">
        <w:rPr>
          <w:rFonts w:cs="Arial"/>
        </w:rPr>
        <w:t>includes savings of £0.286m offset by the approved</w:t>
      </w:r>
      <w:r w:rsidR="00431B9C" w:rsidRPr="00161FFE">
        <w:rPr>
          <w:rFonts w:cs="Arial"/>
        </w:rPr>
        <w:t xml:space="preserve"> application of non-recurrent reserves funding of £0.135</w:t>
      </w:r>
      <w:r w:rsidR="00AA19DF" w:rsidRPr="00161FFE">
        <w:rPr>
          <w:rFonts w:cs="Arial"/>
        </w:rPr>
        <w:t xml:space="preserve">m from the Transitional </w:t>
      </w:r>
      <w:r w:rsidR="00B931A6" w:rsidRPr="00161FFE">
        <w:rPr>
          <w:rFonts w:cs="Arial"/>
        </w:rPr>
        <w:t>Reserve. The</w:t>
      </w:r>
      <w:r w:rsidR="00AA19DF" w:rsidRPr="00161FFE">
        <w:rPr>
          <w:rFonts w:cs="Arial"/>
        </w:rPr>
        <w:t xml:space="preserve"> forecast also includes </w:t>
      </w:r>
      <w:r w:rsidR="00431B9C" w:rsidRPr="00161FFE">
        <w:rPr>
          <w:rFonts w:cs="Arial"/>
        </w:rPr>
        <w:t>£0.049m of SEND Implementation/Reform Grant held on the Former CYP Directorate Grant Funded Reserve to cover the cost of a temporary SEN solicitor</w:t>
      </w:r>
      <w:r w:rsidR="00AA19DF" w:rsidRPr="00161FFE">
        <w:rPr>
          <w:rFonts w:cs="Arial"/>
        </w:rPr>
        <w:t xml:space="preserve"> and</w:t>
      </w:r>
      <w:r w:rsidR="00431B9C" w:rsidRPr="00161FFE">
        <w:rPr>
          <w:rFonts w:cs="Arial"/>
        </w:rPr>
        <w:t xml:space="preserve"> a contribution to the County Council Elections reserve of £0.400m to fund the cost of future local elections. </w:t>
      </w:r>
    </w:p>
    <w:p w14:paraId="259CD349" w14:textId="77777777" w:rsidR="00431B9C" w:rsidRPr="00161FFE" w:rsidRDefault="00431B9C" w:rsidP="0049320F">
      <w:pPr>
        <w:tabs>
          <w:tab w:val="left" w:pos="851"/>
          <w:tab w:val="left" w:pos="1418"/>
        </w:tabs>
        <w:spacing w:after="0"/>
        <w:rPr>
          <w:rFonts w:cs="Arial"/>
          <w:b/>
        </w:rPr>
      </w:pPr>
    </w:p>
    <w:p w14:paraId="2DEE1F14" w14:textId="68CFB4BA" w:rsidR="00431B9C" w:rsidRPr="00161FFE" w:rsidRDefault="00431B9C" w:rsidP="0049320F">
      <w:pPr>
        <w:autoSpaceDE/>
        <w:autoSpaceDN/>
        <w:adjustRightInd/>
        <w:spacing w:after="0"/>
        <w:rPr>
          <w:rFonts w:cs="Arial"/>
          <w:b/>
        </w:rPr>
      </w:pPr>
    </w:p>
    <w:p w14:paraId="03553757" w14:textId="77777777" w:rsidR="00AA19DF" w:rsidRPr="00161FFE" w:rsidRDefault="00AA19DF" w:rsidP="0049320F">
      <w:pPr>
        <w:autoSpaceDE/>
        <w:autoSpaceDN/>
        <w:adjustRightInd/>
        <w:spacing w:after="0"/>
        <w:rPr>
          <w:rFonts w:cs="Arial"/>
          <w:b/>
        </w:rPr>
      </w:pPr>
    </w:p>
    <w:p w14:paraId="7738AA11" w14:textId="77777777" w:rsidR="00AA19DF" w:rsidRPr="00161FFE" w:rsidRDefault="00AA19DF" w:rsidP="0049320F">
      <w:pPr>
        <w:autoSpaceDE/>
        <w:autoSpaceDN/>
        <w:adjustRightInd/>
        <w:spacing w:after="0"/>
        <w:rPr>
          <w:rFonts w:cs="Arial"/>
          <w:b/>
        </w:rPr>
      </w:pPr>
    </w:p>
    <w:p w14:paraId="53E1477C" w14:textId="77777777" w:rsidR="00AA19DF" w:rsidRPr="00161FFE" w:rsidRDefault="00AA19DF" w:rsidP="0049320F">
      <w:pPr>
        <w:autoSpaceDE/>
        <w:autoSpaceDN/>
        <w:adjustRightInd/>
        <w:spacing w:after="0"/>
        <w:rPr>
          <w:rFonts w:cs="Arial"/>
          <w:b/>
        </w:rPr>
      </w:pPr>
    </w:p>
    <w:p w14:paraId="048053D1" w14:textId="77777777" w:rsidR="00AA19DF" w:rsidRPr="00161FFE" w:rsidRDefault="00AA19DF" w:rsidP="0049320F">
      <w:pPr>
        <w:autoSpaceDE/>
        <w:autoSpaceDN/>
        <w:adjustRightInd/>
        <w:spacing w:after="0"/>
        <w:rPr>
          <w:rFonts w:cs="Arial"/>
          <w:b/>
        </w:rPr>
      </w:pPr>
    </w:p>
    <w:p w14:paraId="4A1C1E64" w14:textId="77777777" w:rsidR="00AA19DF" w:rsidRPr="00161FFE" w:rsidRDefault="00AA19DF" w:rsidP="0049320F">
      <w:pPr>
        <w:autoSpaceDE/>
        <w:autoSpaceDN/>
        <w:adjustRightInd/>
        <w:spacing w:after="0"/>
        <w:rPr>
          <w:rFonts w:cs="Arial"/>
          <w:b/>
        </w:rPr>
      </w:pPr>
    </w:p>
    <w:p w14:paraId="33C6B546" w14:textId="77777777" w:rsidR="00AA19DF" w:rsidRPr="00161FFE" w:rsidRDefault="00AA19DF" w:rsidP="0049320F">
      <w:pPr>
        <w:autoSpaceDE/>
        <w:autoSpaceDN/>
        <w:adjustRightInd/>
        <w:spacing w:after="0"/>
        <w:rPr>
          <w:rFonts w:cs="Arial"/>
          <w:b/>
        </w:rPr>
      </w:pPr>
    </w:p>
    <w:p w14:paraId="69251B30" w14:textId="77777777" w:rsidR="00AA19DF" w:rsidRPr="00161FFE" w:rsidRDefault="00AA19DF" w:rsidP="0049320F">
      <w:pPr>
        <w:autoSpaceDE/>
        <w:autoSpaceDN/>
        <w:adjustRightInd/>
        <w:spacing w:after="0"/>
        <w:rPr>
          <w:rFonts w:cs="Arial"/>
          <w:b/>
        </w:rPr>
      </w:pPr>
    </w:p>
    <w:p w14:paraId="4F90FBB2" w14:textId="77777777" w:rsidR="00AA19DF" w:rsidRPr="00161FFE" w:rsidRDefault="00AA19DF" w:rsidP="0049320F">
      <w:pPr>
        <w:autoSpaceDE/>
        <w:autoSpaceDN/>
        <w:adjustRightInd/>
        <w:spacing w:after="0"/>
        <w:rPr>
          <w:rFonts w:cs="Arial"/>
          <w:b/>
        </w:rPr>
      </w:pPr>
    </w:p>
    <w:p w14:paraId="0814ADCA" w14:textId="77777777" w:rsidR="00AA19DF" w:rsidRPr="00161FFE" w:rsidRDefault="00AA19DF" w:rsidP="0049320F">
      <w:pPr>
        <w:autoSpaceDE/>
        <w:autoSpaceDN/>
        <w:adjustRightInd/>
        <w:spacing w:after="0"/>
        <w:rPr>
          <w:rFonts w:cs="Arial"/>
          <w:b/>
        </w:rPr>
      </w:pPr>
    </w:p>
    <w:p w14:paraId="1C5BD4DC" w14:textId="77777777" w:rsidR="00AA19DF" w:rsidRPr="00161FFE" w:rsidRDefault="00AA19DF" w:rsidP="0049320F">
      <w:pPr>
        <w:autoSpaceDE/>
        <w:autoSpaceDN/>
        <w:adjustRightInd/>
        <w:spacing w:after="0"/>
        <w:rPr>
          <w:rFonts w:cs="Arial"/>
          <w:b/>
        </w:rPr>
      </w:pPr>
    </w:p>
    <w:p w14:paraId="0A01B16D" w14:textId="77777777" w:rsidR="00AA19DF" w:rsidRPr="00161FFE" w:rsidRDefault="00AA19DF" w:rsidP="0049320F">
      <w:pPr>
        <w:autoSpaceDE/>
        <w:autoSpaceDN/>
        <w:adjustRightInd/>
        <w:spacing w:after="0"/>
        <w:rPr>
          <w:rFonts w:cs="Arial"/>
          <w:b/>
        </w:rPr>
      </w:pPr>
    </w:p>
    <w:p w14:paraId="7E004A3B" w14:textId="77777777" w:rsidR="00AA19DF" w:rsidRPr="00161FFE" w:rsidRDefault="00AA19DF" w:rsidP="0049320F">
      <w:pPr>
        <w:autoSpaceDE/>
        <w:autoSpaceDN/>
        <w:adjustRightInd/>
        <w:spacing w:after="0"/>
        <w:rPr>
          <w:rFonts w:cs="Arial"/>
          <w:b/>
        </w:rPr>
      </w:pPr>
    </w:p>
    <w:p w14:paraId="6C2CBD01" w14:textId="77777777" w:rsidR="00AA19DF" w:rsidRPr="00161FFE" w:rsidRDefault="00AA19DF" w:rsidP="0049320F">
      <w:pPr>
        <w:autoSpaceDE/>
        <w:autoSpaceDN/>
        <w:adjustRightInd/>
        <w:spacing w:after="0"/>
        <w:rPr>
          <w:rFonts w:cs="Arial"/>
          <w:b/>
        </w:rPr>
      </w:pPr>
    </w:p>
    <w:p w14:paraId="0B5BCE12" w14:textId="77777777" w:rsidR="00AA19DF" w:rsidRPr="00161FFE" w:rsidRDefault="00AA19DF" w:rsidP="0049320F">
      <w:pPr>
        <w:autoSpaceDE/>
        <w:autoSpaceDN/>
        <w:adjustRightInd/>
        <w:spacing w:after="0"/>
        <w:rPr>
          <w:rFonts w:cs="Arial"/>
          <w:b/>
        </w:rPr>
      </w:pPr>
    </w:p>
    <w:p w14:paraId="5BFD4202" w14:textId="77777777" w:rsidR="00AA19DF" w:rsidRPr="00161FFE" w:rsidRDefault="00AA19DF" w:rsidP="0049320F">
      <w:pPr>
        <w:autoSpaceDE/>
        <w:autoSpaceDN/>
        <w:adjustRightInd/>
        <w:spacing w:after="0"/>
        <w:rPr>
          <w:rFonts w:cs="Arial"/>
          <w:b/>
        </w:rPr>
      </w:pPr>
    </w:p>
    <w:p w14:paraId="1DDA2CC8" w14:textId="77777777" w:rsidR="00AA19DF" w:rsidRPr="00161FFE" w:rsidRDefault="00AA19DF" w:rsidP="0049320F">
      <w:pPr>
        <w:autoSpaceDE/>
        <w:autoSpaceDN/>
        <w:adjustRightInd/>
        <w:spacing w:after="0"/>
        <w:rPr>
          <w:rFonts w:cs="Arial"/>
          <w:b/>
        </w:rPr>
      </w:pPr>
    </w:p>
    <w:p w14:paraId="55F4B744" w14:textId="77777777" w:rsidR="00AA19DF" w:rsidRPr="00161FFE" w:rsidRDefault="00AA19DF" w:rsidP="0049320F">
      <w:pPr>
        <w:autoSpaceDE/>
        <w:autoSpaceDN/>
        <w:adjustRightInd/>
        <w:spacing w:after="0"/>
        <w:rPr>
          <w:rFonts w:cs="Arial"/>
          <w:b/>
        </w:rPr>
      </w:pPr>
    </w:p>
    <w:p w14:paraId="282797E7" w14:textId="77777777" w:rsidR="00AA19DF" w:rsidRPr="00161FFE" w:rsidRDefault="00AA19DF" w:rsidP="0049320F">
      <w:pPr>
        <w:autoSpaceDE/>
        <w:autoSpaceDN/>
        <w:adjustRightInd/>
        <w:spacing w:after="0"/>
        <w:rPr>
          <w:rFonts w:cs="Arial"/>
          <w:b/>
        </w:rPr>
      </w:pPr>
    </w:p>
    <w:p w14:paraId="11FB377C" w14:textId="77777777" w:rsidR="00AA19DF" w:rsidRPr="00161FFE" w:rsidRDefault="00AA19DF" w:rsidP="0049320F">
      <w:pPr>
        <w:autoSpaceDE/>
        <w:autoSpaceDN/>
        <w:adjustRightInd/>
        <w:spacing w:after="0"/>
        <w:rPr>
          <w:rFonts w:cs="Arial"/>
          <w:b/>
        </w:rPr>
      </w:pPr>
    </w:p>
    <w:p w14:paraId="6D8C5D38" w14:textId="77777777" w:rsidR="00AA19DF" w:rsidRPr="00161FFE" w:rsidRDefault="00AA19DF" w:rsidP="0049320F">
      <w:pPr>
        <w:autoSpaceDE/>
        <w:autoSpaceDN/>
        <w:adjustRightInd/>
        <w:spacing w:after="0"/>
        <w:rPr>
          <w:rFonts w:cs="Arial"/>
          <w:b/>
        </w:rPr>
      </w:pPr>
    </w:p>
    <w:p w14:paraId="3CE130FE" w14:textId="77777777" w:rsidR="00AA19DF" w:rsidRDefault="00AA19DF" w:rsidP="0049320F">
      <w:pPr>
        <w:autoSpaceDE/>
        <w:autoSpaceDN/>
        <w:adjustRightInd/>
        <w:spacing w:after="0"/>
        <w:rPr>
          <w:b/>
        </w:rPr>
      </w:pPr>
    </w:p>
    <w:p w14:paraId="26215FA9" w14:textId="77777777" w:rsidR="00AA19DF" w:rsidRDefault="00AA19DF" w:rsidP="0049320F">
      <w:pPr>
        <w:autoSpaceDE/>
        <w:autoSpaceDN/>
        <w:adjustRightInd/>
        <w:spacing w:after="0"/>
        <w:rPr>
          <w:b/>
        </w:rPr>
      </w:pPr>
    </w:p>
    <w:p w14:paraId="695F92A2" w14:textId="77777777" w:rsidR="00AA19DF" w:rsidRDefault="00AA19DF" w:rsidP="0049320F">
      <w:pPr>
        <w:autoSpaceDE/>
        <w:autoSpaceDN/>
        <w:adjustRightInd/>
        <w:spacing w:after="0"/>
        <w:rPr>
          <w:b/>
        </w:rPr>
      </w:pPr>
    </w:p>
    <w:p w14:paraId="1289528E" w14:textId="77777777" w:rsidR="00AA19DF" w:rsidRDefault="00AA19DF" w:rsidP="0049320F">
      <w:pPr>
        <w:autoSpaceDE/>
        <w:autoSpaceDN/>
        <w:adjustRightInd/>
        <w:spacing w:after="0"/>
        <w:rPr>
          <w:b/>
        </w:rPr>
      </w:pPr>
    </w:p>
    <w:p w14:paraId="3930D52C" w14:textId="77777777" w:rsidR="00AA19DF" w:rsidRDefault="00AA19DF" w:rsidP="0049320F">
      <w:pPr>
        <w:autoSpaceDE/>
        <w:autoSpaceDN/>
        <w:adjustRightInd/>
        <w:spacing w:after="0"/>
        <w:rPr>
          <w:b/>
        </w:rPr>
      </w:pPr>
    </w:p>
    <w:p w14:paraId="216ECCAE" w14:textId="77777777" w:rsidR="00AA19DF" w:rsidRDefault="00AA19DF" w:rsidP="0049320F">
      <w:pPr>
        <w:autoSpaceDE/>
        <w:autoSpaceDN/>
        <w:adjustRightInd/>
        <w:spacing w:after="0"/>
        <w:rPr>
          <w:b/>
        </w:rPr>
      </w:pPr>
    </w:p>
    <w:p w14:paraId="32AF04EE" w14:textId="77777777" w:rsidR="00AA19DF" w:rsidRDefault="00AA19DF" w:rsidP="0049320F">
      <w:pPr>
        <w:autoSpaceDE/>
        <w:autoSpaceDN/>
        <w:adjustRightInd/>
        <w:spacing w:after="0"/>
        <w:rPr>
          <w:b/>
        </w:rPr>
      </w:pPr>
    </w:p>
    <w:p w14:paraId="7F5CF081" w14:textId="77777777" w:rsidR="00AA19DF" w:rsidRDefault="00AA19DF" w:rsidP="0049320F">
      <w:pPr>
        <w:autoSpaceDE/>
        <w:autoSpaceDN/>
        <w:adjustRightInd/>
        <w:spacing w:after="0"/>
        <w:rPr>
          <w:b/>
        </w:rPr>
      </w:pPr>
    </w:p>
    <w:p w14:paraId="2B838119" w14:textId="77777777" w:rsidR="00AA19DF" w:rsidRDefault="00AA19DF" w:rsidP="0049320F">
      <w:pPr>
        <w:autoSpaceDE/>
        <w:autoSpaceDN/>
        <w:adjustRightInd/>
        <w:spacing w:after="0"/>
        <w:rPr>
          <w:b/>
        </w:rPr>
      </w:pPr>
    </w:p>
    <w:p w14:paraId="6EFC55D9" w14:textId="77777777" w:rsidR="00AA19DF" w:rsidRDefault="00AA19DF" w:rsidP="0049320F">
      <w:pPr>
        <w:autoSpaceDE/>
        <w:autoSpaceDN/>
        <w:adjustRightInd/>
        <w:spacing w:after="0"/>
        <w:rPr>
          <w:b/>
        </w:rPr>
      </w:pPr>
    </w:p>
    <w:p w14:paraId="617667C2" w14:textId="77777777" w:rsidR="00AA19DF" w:rsidRDefault="00AA19DF" w:rsidP="0049320F">
      <w:pPr>
        <w:autoSpaceDE/>
        <w:autoSpaceDN/>
        <w:adjustRightInd/>
        <w:spacing w:after="0"/>
        <w:rPr>
          <w:b/>
        </w:rPr>
      </w:pPr>
    </w:p>
    <w:p w14:paraId="1677561F" w14:textId="77777777" w:rsidR="00AA19DF" w:rsidRDefault="00AA19DF" w:rsidP="0049320F">
      <w:pPr>
        <w:autoSpaceDE/>
        <w:autoSpaceDN/>
        <w:adjustRightInd/>
        <w:spacing w:after="0"/>
        <w:rPr>
          <w:b/>
        </w:rPr>
      </w:pPr>
    </w:p>
    <w:p w14:paraId="7B2F922A" w14:textId="77777777" w:rsidR="00AA19DF" w:rsidRDefault="00AA19DF" w:rsidP="0049320F">
      <w:pPr>
        <w:autoSpaceDE/>
        <w:autoSpaceDN/>
        <w:adjustRightInd/>
        <w:spacing w:after="0"/>
        <w:rPr>
          <w:b/>
        </w:rPr>
      </w:pPr>
    </w:p>
    <w:p w14:paraId="6B074A38" w14:textId="77777777" w:rsidR="00AA19DF" w:rsidRDefault="00AA19DF" w:rsidP="0049320F">
      <w:pPr>
        <w:autoSpaceDE/>
        <w:autoSpaceDN/>
        <w:adjustRightInd/>
        <w:spacing w:after="0"/>
        <w:rPr>
          <w:b/>
        </w:rPr>
      </w:pPr>
    </w:p>
    <w:p w14:paraId="11B73504" w14:textId="77777777" w:rsidR="00AA19DF" w:rsidRDefault="00AA19DF" w:rsidP="0049320F">
      <w:pPr>
        <w:autoSpaceDE/>
        <w:autoSpaceDN/>
        <w:adjustRightInd/>
        <w:spacing w:after="0"/>
        <w:rPr>
          <w:b/>
        </w:rPr>
      </w:pPr>
    </w:p>
    <w:p w14:paraId="3C7998DE" w14:textId="77777777" w:rsidR="00AA19DF" w:rsidRDefault="00AA19DF" w:rsidP="0049320F">
      <w:pPr>
        <w:autoSpaceDE/>
        <w:autoSpaceDN/>
        <w:adjustRightInd/>
        <w:spacing w:after="0"/>
        <w:rPr>
          <w:b/>
        </w:rPr>
      </w:pPr>
    </w:p>
    <w:p w14:paraId="1FEA6241" w14:textId="77777777" w:rsidR="00AA19DF" w:rsidRDefault="00AA19DF" w:rsidP="0049320F">
      <w:pPr>
        <w:autoSpaceDE/>
        <w:autoSpaceDN/>
        <w:adjustRightInd/>
        <w:spacing w:after="0"/>
        <w:rPr>
          <w:b/>
        </w:rPr>
      </w:pPr>
    </w:p>
    <w:p w14:paraId="7DC816C6" w14:textId="77777777" w:rsidR="00AA19DF" w:rsidRDefault="00AA19DF" w:rsidP="0049320F">
      <w:pPr>
        <w:autoSpaceDE/>
        <w:autoSpaceDN/>
        <w:adjustRightInd/>
        <w:spacing w:after="0"/>
        <w:rPr>
          <w:b/>
        </w:rPr>
      </w:pPr>
    </w:p>
    <w:p w14:paraId="001EAEDB" w14:textId="77777777" w:rsidR="00AA19DF" w:rsidRDefault="00AA19DF" w:rsidP="0049320F">
      <w:pPr>
        <w:autoSpaceDE/>
        <w:autoSpaceDN/>
        <w:adjustRightInd/>
        <w:spacing w:after="0"/>
        <w:rPr>
          <w:b/>
        </w:rPr>
      </w:pPr>
    </w:p>
    <w:p w14:paraId="3CC90CBE" w14:textId="77777777" w:rsidR="00CB3546" w:rsidRDefault="00CB3546" w:rsidP="0049320F">
      <w:pPr>
        <w:tabs>
          <w:tab w:val="left" w:pos="851"/>
          <w:tab w:val="left" w:pos="1418"/>
        </w:tabs>
        <w:spacing w:after="0"/>
        <w:rPr>
          <w:b/>
        </w:rPr>
      </w:pPr>
    </w:p>
    <w:p w14:paraId="1FA8BBB0" w14:textId="77777777" w:rsidR="00101492" w:rsidRDefault="00101492" w:rsidP="0049320F">
      <w:pPr>
        <w:tabs>
          <w:tab w:val="left" w:pos="851"/>
          <w:tab w:val="left" w:pos="1418"/>
        </w:tabs>
        <w:spacing w:after="0"/>
        <w:rPr>
          <w:b/>
        </w:rPr>
      </w:pPr>
    </w:p>
    <w:p w14:paraId="647C867A" w14:textId="77777777" w:rsidR="00431B9C" w:rsidRDefault="00431B9C" w:rsidP="0049320F">
      <w:pPr>
        <w:tabs>
          <w:tab w:val="left" w:pos="851"/>
          <w:tab w:val="left" w:pos="1418"/>
        </w:tabs>
        <w:spacing w:after="0"/>
        <w:rPr>
          <w:b/>
        </w:rPr>
      </w:pPr>
    </w:p>
    <w:p w14:paraId="1C1F646B" w14:textId="367C8349" w:rsidR="00367210" w:rsidRDefault="00622590" w:rsidP="0049320F">
      <w:pPr>
        <w:tabs>
          <w:tab w:val="left" w:pos="851"/>
          <w:tab w:val="left" w:pos="1418"/>
        </w:tabs>
        <w:spacing w:after="0"/>
        <w:rPr>
          <w:b/>
        </w:rPr>
      </w:pPr>
      <w:r>
        <w:rPr>
          <w:b/>
        </w:rPr>
        <w:lastRenderedPageBreak/>
        <w:t>3.7</w:t>
      </w:r>
      <w:r w:rsidR="00D32EEA">
        <w:rPr>
          <w:b/>
        </w:rPr>
        <w:tab/>
      </w:r>
      <w:r w:rsidR="00367210" w:rsidRPr="005D16FE">
        <w:rPr>
          <w:b/>
        </w:rPr>
        <w:t>Chief Executive Services</w:t>
      </w:r>
    </w:p>
    <w:p w14:paraId="7B5C1FDB" w14:textId="77777777" w:rsidR="00367210" w:rsidRDefault="00367210" w:rsidP="0049320F">
      <w:pPr>
        <w:tabs>
          <w:tab w:val="left" w:pos="851"/>
          <w:tab w:val="left" w:pos="1418"/>
        </w:tabs>
        <w:spacing w:after="0"/>
        <w:contextualSpacing/>
        <w:rPr>
          <w:rFonts w:cs="Arial"/>
          <w:bCs/>
        </w:rPr>
      </w:pPr>
    </w:p>
    <w:tbl>
      <w:tblPr>
        <w:tblW w:w="9089" w:type="dxa"/>
        <w:tblLook w:val="04A0" w:firstRow="1" w:lastRow="0" w:firstColumn="1" w:lastColumn="0" w:noHBand="0" w:noVBand="1"/>
      </w:tblPr>
      <w:tblGrid>
        <w:gridCol w:w="704"/>
        <w:gridCol w:w="4035"/>
        <w:gridCol w:w="1450"/>
        <w:gridCol w:w="1450"/>
        <w:gridCol w:w="1450"/>
      </w:tblGrid>
      <w:tr w:rsidR="00367210" w:rsidRPr="00367210" w14:paraId="46B20F4D" w14:textId="77777777" w:rsidTr="00BC6E80">
        <w:trPr>
          <w:trHeight w:val="1095"/>
        </w:trPr>
        <w:tc>
          <w:tcPr>
            <w:tcW w:w="704" w:type="dxa"/>
            <w:tcBorders>
              <w:top w:val="single" w:sz="4" w:space="0" w:color="auto"/>
              <w:left w:val="single" w:sz="4" w:space="0" w:color="auto"/>
              <w:bottom w:val="nil"/>
              <w:right w:val="single" w:sz="4" w:space="0" w:color="auto"/>
            </w:tcBorders>
            <w:shd w:val="clear" w:color="000000" w:fill="D9D9D9"/>
            <w:vAlign w:val="bottom"/>
            <w:hideMark/>
          </w:tcPr>
          <w:p w14:paraId="55BE5D74" w14:textId="77777777" w:rsidR="00367210" w:rsidRPr="00367210" w:rsidRDefault="00367210" w:rsidP="0049320F">
            <w:pPr>
              <w:autoSpaceDE/>
              <w:autoSpaceDN/>
              <w:adjustRightInd/>
              <w:spacing w:after="0"/>
              <w:rPr>
                <w:rFonts w:eastAsia="Times New Roman" w:cs="Arial"/>
                <w:b/>
                <w:bCs/>
                <w:sz w:val="20"/>
                <w:szCs w:val="20"/>
                <w:lang w:eastAsia="en-GB"/>
              </w:rPr>
            </w:pPr>
            <w:r w:rsidRPr="00367210">
              <w:rPr>
                <w:rFonts w:eastAsia="Times New Roman" w:cs="Arial"/>
                <w:b/>
                <w:bCs/>
                <w:sz w:val="20"/>
                <w:szCs w:val="20"/>
                <w:lang w:eastAsia="en-GB"/>
              </w:rPr>
              <w:t>Ref</w:t>
            </w:r>
          </w:p>
        </w:tc>
        <w:tc>
          <w:tcPr>
            <w:tcW w:w="4035" w:type="dxa"/>
            <w:tcBorders>
              <w:top w:val="single" w:sz="4" w:space="0" w:color="auto"/>
              <w:left w:val="nil"/>
              <w:bottom w:val="nil"/>
              <w:right w:val="single" w:sz="4" w:space="0" w:color="auto"/>
            </w:tcBorders>
            <w:shd w:val="clear" w:color="000000" w:fill="D9D9D9"/>
            <w:vAlign w:val="bottom"/>
            <w:hideMark/>
          </w:tcPr>
          <w:p w14:paraId="03142042" w14:textId="510D2DBB" w:rsidR="00367210" w:rsidRPr="00367210" w:rsidRDefault="00A54E39" w:rsidP="0049320F">
            <w:pPr>
              <w:autoSpaceDE/>
              <w:autoSpaceDN/>
              <w:adjustRightInd/>
              <w:spacing w:after="0"/>
              <w:rPr>
                <w:rFonts w:eastAsia="Times New Roman" w:cs="Arial"/>
                <w:b/>
                <w:bCs/>
                <w:sz w:val="20"/>
                <w:szCs w:val="20"/>
                <w:lang w:eastAsia="en-GB"/>
              </w:rPr>
            </w:pPr>
            <w:r w:rsidRPr="005674C8">
              <w:rPr>
                <w:rFonts w:eastAsia="Times New Roman" w:cs="Arial"/>
                <w:b/>
                <w:bCs/>
                <w:sz w:val="20"/>
                <w:szCs w:val="20"/>
                <w:lang w:eastAsia="en-GB"/>
              </w:rPr>
              <w:t>HEAD OF SERVICE</w:t>
            </w:r>
          </w:p>
        </w:tc>
        <w:tc>
          <w:tcPr>
            <w:tcW w:w="1450" w:type="dxa"/>
            <w:tcBorders>
              <w:top w:val="single" w:sz="4" w:space="0" w:color="auto"/>
              <w:left w:val="nil"/>
              <w:bottom w:val="nil"/>
              <w:right w:val="single" w:sz="4" w:space="0" w:color="auto"/>
            </w:tcBorders>
            <w:shd w:val="clear" w:color="000000" w:fill="D9D9D9"/>
            <w:vAlign w:val="bottom"/>
            <w:hideMark/>
          </w:tcPr>
          <w:p w14:paraId="362633C8" w14:textId="77777777" w:rsidR="00367210" w:rsidRPr="00367210" w:rsidRDefault="00367210" w:rsidP="0049320F">
            <w:pPr>
              <w:autoSpaceDE/>
              <w:autoSpaceDN/>
              <w:adjustRightInd/>
              <w:spacing w:after="0"/>
              <w:rPr>
                <w:rFonts w:eastAsia="Times New Roman" w:cs="Arial"/>
                <w:b/>
                <w:bCs/>
                <w:sz w:val="20"/>
                <w:szCs w:val="20"/>
                <w:lang w:eastAsia="en-GB"/>
              </w:rPr>
            </w:pPr>
            <w:r w:rsidRPr="00367210">
              <w:rPr>
                <w:rFonts w:eastAsia="Times New Roman" w:cs="Arial"/>
                <w:b/>
                <w:bCs/>
                <w:sz w:val="20"/>
                <w:szCs w:val="20"/>
                <w:lang w:eastAsia="en-GB"/>
              </w:rPr>
              <w:t>Approved Budget</w:t>
            </w:r>
          </w:p>
        </w:tc>
        <w:tc>
          <w:tcPr>
            <w:tcW w:w="1450" w:type="dxa"/>
            <w:tcBorders>
              <w:top w:val="single" w:sz="4" w:space="0" w:color="auto"/>
              <w:left w:val="nil"/>
              <w:bottom w:val="nil"/>
              <w:right w:val="single" w:sz="4" w:space="0" w:color="auto"/>
            </w:tcBorders>
            <w:shd w:val="clear" w:color="000000" w:fill="D9D9D9"/>
            <w:vAlign w:val="bottom"/>
            <w:hideMark/>
          </w:tcPr>
          <w:p w14:paraId="729D5526" w14:textId="77777777" w:rsidR="00367210" w:rsidRPr="00367210" w:rsidRDefault="00367210" w:rsidP="0049320F">
            <w:pPr>
              <w:autoSpaceDE/>
              <w:autoSpaceDN/>
              <w:adjustRightInd/>
              <w:spacing w:after="0"/>
              <w:rPr>
                <w:rFonts w:eastAsia="Times New Roman" w:cs="Arial"/>
                <w:b/>
                <w:bCs/>
                <w:sz w:val="20"/>
                <w:szCs w:val="20"/>
                <w:lang w:eastAsia="en-GB"/>
              </w:rPr>
            </w:pPr>
            <w:r w:rsidRPr="00367210">
              <w:rPr>
                <w:rFonts w:eastAsia="Times New Roman" w:cs="Arial"/>
                <w:b/>
                <w:bCs/>
                <w:sz w:val="20"/>
                <w:szCs w:val="20"/>
                <w:lang w:eastAsia="en-GB"/>
              </w:rPr>
              <w:t>Current Period Forecast Outturn</w:t>
            </w:r>
          </w:p>
        </w:tc>
        <w:tc>
          <w:tcPr>
            <w:tcW w:w="1450" w:type="dxa"/>
            <w:tcBorders>
              <w:top w:val="single" w:sz="4" w:space="0" w:color="auto"/>
              <w:left w:val="nil"/>
              <w:bottom w:val="nil"/>
              <w:right w:val="single" w:sz="4" w:space="0" w:color="auto"/>
            </w:tcBorders>
            <w:shd w:val="clear" w:color="000000" w:fill="D9D9D9"/>
            <w:vAlign w:val="bottom"/>
            <w:hideMark/>
          </w:tcPr>
          <w:p w14:paraId="18D88D51" w14:textId="77777777" w:rsidR="00367210" w:rsidRPr="00367210" w:rsidRDefault="00367210" w:rsidP="0049320F">
            <w:pPr>
              <w:autoSpaceDE/>
              <w:autoSpaceDN/>
              <w:adjustRightInd/>
              <w:spacing w:after="0"/>
              <w:rPr>
                <w:rFonts w:eastAsia="Times New Roman" w:cs="Arial"/>
                <w:b/>
                <w:bCs/>
                <w:sz w:val="20"/>
                <w:szCs w:val="20"/>
                <w:lang w:eastAsia="en-GB"/>
              </w:rPr>
            </w:pPr>
            <w:r w:rsidRPr="00367210">
              <w:rPr>
                <w:rFonts w:eastAsia="Times New Roman" w:cs="Arial"/>
                <w:b/>
                <w:bCs/>
                <w:sz w:val="20"/>
                <w:szCs w:val="20"/>
                <w:lang w:eastAsia="en-GB"/>
              </w:rPr>
              <w:t>Current Period Forecast Variance</w:t>
            </w:r>
          </w:p>
        </w:tc>
      </w:tr>
      <w:tr w:rsidR="00367210" w:rsidRPr="00367210" w14:paraId="3E7F4492" w14:textId="77777777" w:rsidTr="00BC6E80">
        <w:trPr>
          <w:trHeight w:val="273"/>
        </w:trPr>
        <w:tc>
          <w:tcPr>
            <w:tcW w:w="704" w:type="dxa"/>
            <w:tcBorders>
              <w:top w:val="nil"/>
              <w:left w:val="single" w:sz="4" w:space="0" w:color="auto"/>
              <w:bottom w:val="single" w:sz="4" w:space="0" w:color="auto"/>
              <w:right w:val="single" w:sz="4" w:space="0" w:color="auto"/>
            </w:tcBorders>
            <w:shd w:val="clear" w:color="000000" w:fill="D9D9D9"/>
            <w:vAlign w:val="bottom"/>
            <w:hideMark/>
          </w:tcPr>
          <w:p w14:paraId="3801E3A0" w14:textId="77777777" w:rsidR="00367210" w:rsidRPr="00367210" w:rsidRDefault="00367210" w:rsidP="0049320F">
            <w:pPr>
              <w:autoSpaceDE/>
              <w:autoSpaceDN/>
              <w:adjustRightInd/>
              <w:spacing w:after="0"/>
              <w:rPr>
                <w:rFonts w:eastAsia="Times New Roman" w:cs="Arial"/>
                <w:b/>
                <w:bCs/>
                <w:sz w:val="20"/>
                <w:szCs w:val="20"/>
                <w:lang w:eastAsia="en-GB"/>
              </w:rPr>
            </w:pPr>
            <w:r w:rsidRPr="00367210">
              <w:rPr>
                <w:rFonts w:eastAsia="Times New Roman" w:cs="Arial"/>
                <w:b/>
                <w:bCs/>
                <w:sz w:val="20"/>
                <w:szCs w:val="20"/>
                <w:lang w:eastAsia="en-GB"/>
              </w:rPr>
              <w:t> </w:t>
            </w:r>
          </w:p>
        </w:tc>
        <w:tc>
          <w:tcPr>
            <w:tcW w:w="4035" w:type="dxa"/>
            <w:tcBorders>
              <w:top w:val="nil"/>
              <w:left w:val="nil"/>
              <w:bottom w:val="single" w:sz="4" w:space="0" w:color="auto"/>
              <w:right w:val="single" w:sz="4" w:space="0" w:color="auto"/>
            </w:tcBorders>
            <w:shd w:val="clear" w:color="000000" w:fill="D9D9D9"/>
            <w:vAlign w:val="bottom"/>
            <w:hideMark/>
          </w:tcPr>
          <w:p w14:paraId="3B86451F" w14:textId="77777777" w:rsidR="00367210" w:rsidRPr="00367210" w:rsidRDefault="00367210" w:rsidP="0049320F">
            <w:pPr>
              <w:autoSpaceDE/>
              <w:autoSpaceDN/>
              <w:adjustRightInd/>
              <w:spacing w:after="0"/>
              <w:rPr>
                <w:rFonts w:eastAsia="Times New Roman" w:cs="Arial"/>
                <w:b/>
                <w:bCs/>
                <w:sz w:val="20"/>
                <w:szCs w:val="20"/>
                <w:lang w:eastAsia="en-GB"/>
              </w:rPr>
            </w:pPr>
            <w:r w:rsidRPr="00367210">
              <w:rPr>
                <w:rFonts w:eastAsia="Times New Roman" w:cs="Arial"/>
                <w:b/>
                <w:bCs/>
                <w:sz w:val="20"/>
                <w:szCs w:val="20"/>
                <w:lang w:eastAsia="en-GB"/>
              </w:rPr>
              <w:t> </w:t>
            </w:r>
          </w:p>
        </w:tc>
        <w:tc>
          <w:tcPr>
            <w:tcW w:w="1450" w:type="dxa"/>
            <w:tcBorders>
              <w:top w:val="nil"/>
              <w:left w:val="nil"/>
              <w:bottom w:val="single" w:sz="4" w:space="0" w:color="auto"/>
              <w:right w:val="single" w:sz="4" w:space="0" w:color="auto"/>
            </w:tcBorders>
            <w:shd w:val="clear" w:color="000000" w:fill="D9D9D9"/>
            <w:vAlign w:val="bottom"/>
            <w:hideMark/>
          </w:tcPr>
          <w:p w14:paraId="2916817E" w14:textId="77777777" w:rsidR="00367210" w:rsidRPr="00367210" w:rsidRDefault="00367210" w:rsidP="0049320F">
            <w:pPr>
              <w:autoSpaceDE/>
              <w:autoSpaceDN/>
              <w:adjustRightInd/>
              <w:spacing w:after="0"/>
              <w:rPr>
                <w:rFonts w:eastAsia="Times New Roman" w:cs="Arial"/>
                <w:b/>
                <w:bCs/>
                <w:sz w:val="20"/>
                <w:szCs w:val="20"/>
                <w:lang w:eastAsia="en-GB"/>
              </w:rPr>
            </w:pPr>
            <w:r w:rsidRPr="00367210">
              <w:rPr>
                <w:rFonts w:eastAsia="Times New Roman" w:cs="Arial"/>
                <w:b/>
                <w:bCs/>
                <w:sz w:val="20"/>
                <w:szCs w:val="20"/>
                <w:lang w:eastAsia="en-GB"/>
              </w:rPr>
              <w:t>£m</w:t>
            </w:r>
          </w:p>
        </w:tc>
        <w:tc>
          <w:tcPr>
            <w:tcW w:w="1450" w:type="dxa"/>
            <w:tcBorders>
              <w:top w:val="nil"/>
              <w:left w:val="nil"/>
              <w:bottom w:val="single" w:sz="4" w:space="0" w:color="auto"/>
              <w:right w:val="single" w:sz="4" w:space="0" w:color="auto"/>
            </w:tcBorders>
            <w:shd w:val="clear" w:color="000000" w:fill="D9D9D9"/>
            <w:vAlign w:val="bottom"/>
            <w:hideMark/>
          </w:tcPr>
          <w:p w14:paraId="5F728056" w14:textId="77777777" w:rsidR="00367210" w:rsidRPr="00367210" w:rsidRDefault="00367210" w:rsidP="0049320F">
            <w:pPr>
              <w:autoSpaceDE/>
              <w:autoSpaceDN/>
              <w:adjustRightInd/>
              <w:spacing w:after="0"/>
              <w:rPr>
                <w:rFonts w:eastAsia="Times New Roman" w:cs="Arial"/>
                <w:b/>
                <w:bCs/>
                <w:sz w:val="20"/>
                <w:szCs w:val="20"/>
                <w:lang w:eastAsia="en-GB"/>
              </w:rPr>
            </w:pPr>
            <w:r w:rsidRPr="00367210">
              <w:rPr>
                <w:rFonts w:eastAsia="Times New Roman" w:cs="Arial"/>
                <w:b/>
                <w:bCs/>
                <w:sz w:val="20"/>
                <w:szCs w:val="20"/>
                <w:lang w:eastAsia="en-GB"/>
              </w:rPr>
              <w:t>£m</w:t>
            </w:r>
          </w:p>
        </w:tc>
        <w:tc>
          <w:tcPr>
            <w:tcW w:w="1450" w:type="dxa"/>
            <w:tcBorders>
              <w:top w:val="nil"/>
              <w:left w:val="nil"/>
              <w:bottom w:val="single" w:sz="4" w:space="0" w:color="auto"/>
              <w:right w:val="single" w:sz="4" w:space="0" w:color="auto"/>
            </w:tcBorders>
            <w:shd w:val="clear" w:color="000000" w:fill="D9D9D9"/>
            <w:vAlign w:val="bottom"/>
            <w:hideMark/>
          </w:tcPr>
          <w:p w14:paraId="46B23A9C" w14:textId="77777777" w:rsidR="00367210" w:rsidRPr="00367210" w:rsidRDefault="00367210" w:rsidP="0049320F">
            <w:pPr>
              <w:autoSpaceDE/>
              <w:autoSpaceDN/>
              <w:adjustRightInd/>
              <w:spacing w:after="0"/>
              <w:rPr>
                <w:rFonts w:eastAsia="Times New Roman" w:cs="Arial"/>
                <w:b/>
                <w:bCs/>
                <w:sz w:val="20"/>
                <w:szCs w:val="20"/>
                <w:lang w:eastAsia="en-GB"/>
              </w:rPr>
            </w:pPr>
            <w:r w:rsidRPr="00367210">
              <w:rPr>
                <w:rFonts w:eastAsia="Times New Roman" w:cs="Arial"/>
                <w:b/>
                <w:bCs/>
                <w:sz w:val="20"/>
                <w:szCs w:val="20"/>
                <w:lang w:eastAsia="en-GB"/>
              </w:rPr>
              <w:t>£m</w:t>
            </w:r>
          </w:p>
        </w:tc>
      </w:tr>
      <w:tr w:rsidR="00401CB5" w:rsidRPr="00367210" w14:paraId="61E360AA" w14:textId="77777777" w:rsidTr="00BC6E80">
        <w:trPr>
          <w:trHeight w:val="273"/>
        </w:trPr>
        <w:tc>
          <w:tcPr>
            <w:tcW w:w="704" w:type="dxa"/>
            <w:tcBorders>
              <w:top w:val="nil"/>
              <w:left w:val="single" w:sz="4" w:space="0" w:color="auto"/>
              <w:bottom w:val="single" w:sz="4" w:space="0" w:color="auto"/>
              <w:right w:val="single" w:sz="4" w:space="0" w:color="auto"/>
            </w:tcBorders>
            <w:shd w:val="clear" w:color="000000" w:fill="FFFFFF"/>
            <w:noWrap/>
            <w:hideMark/>
          </w:tcPr>
          <w:p w14:paraId="33765CF9" w14:textId="6899BE4A" w:rsidR="00401CB5" w:rsidRPr="00367210" w:rsidRDefault="00622590" w:rsidP="0049320F">
            <w:pPr>
              <w:autoSpaceDE/>
              <w:autoSpaceDN/>
              <w:adjustRightInd/>
              <w:spacing w:after="0"/>
              <w:rPr>
                <w:rFonts w:eastAsia="Times New Roman" w:cs="Arial"/>
                <w:b/>
                <w:bCs/>
                <w:sz w:val="20"/>
                <w:szCs w:val="20"/>
                <w:lang w:eastAsia="en-GB"/>
              </w:rPr>
            </w:pPr>
            <w:r>
              <w:rPr>
                <w:rFonts w:eastAsia="Times New Roman" w:cs="Arial"/>
                <w:b/>
                <w:bCs/>
                <w:sz w:val="20"/>
                <w:szCs w:val="20"/>
                <w:lang w:eastAsia="en-GB"/>
              </w:rPr>
              <w:t>3.7</w:t>
            </w:r>
            <w:r w:rsidR="00401CB5" w:rsidRPr="00367210">
              <w:rPr>
                <w:rFonts w:eastAsia="Times New Roman" w:cs="Arial"/>
                <w:b/>
                <w:bCs/>
                <w:sz w:val="20"/>
                <w:szCs w:val="20"/>
                <w:lang w:eastAsia="en-GB"/>
              </w:rPr>
              <w:t>.1</w:t>
            </w:r>
          </w:p>
        </w:tc>
        <w:tc>
          <w:tcPr>
            <w:tcW w:w="4035" w:type="dxa"/>
            <w:tcBorders>
              <w:top w:val="nil"/>
              <w:left w:val="nil"/>
              <w:bottom w:val="single" w:sz="4" w:space="0" w:color="auto"/>
              <w:right w:val="single" w:sz="4" w:space="0" w:color="auto"/>
            </w:tcBorders>
            <w:shd w:val="clear" w:color="000000" w:fill="FFFFFF"/>
            <w:hideMark/>
          </w:tcPr>
          <w:p w14:paraId="5ED97E51" w14:textId="5D90AF74" w:rsidR="00401CB5" w:rsidRPr="00367210" w:rsidRDefault="00401CB5" w:rsidP="00101492">
            <w:pPr>
              <w:autoSpaceDE/>
              <w:autoSpaceDN/>
              <w:adjustRightInd/>
              <w:spacing w:after="0"/>
              <w:jc w:val="left"/>
              <w:rPr>
                <w:rFonts w:eastAsia="Times New Roman" w:cs="Arial"/>
                <w:sz w:val="20"/>
                <w:szCs w:val="20"/>
                <w:lang w:eastAsia="en-GB"/>
              </w:rPr>
            </w:pPr>
            <w:r>
              <w:rPr>
                <w:rFonts w:cs="Arial"/>
                <w:sz w:val="20"/>
                <w:szCs w:val="20"/>
              </w:rPr>
              <w:t>CHIEF EXECUTIVE</w:t>
            </w:r>
          </w:p>
        </w:tc>
        <w:tc>
          <w:tcPr>
            <w:tcW w:w="1450" w:type="dxa"/>
            <w:tcBorders>
              <w:top w:val="nil"/>
              <w:left w:val="nil"/>
              <w:bottom w:val="single" w:sz="4" w:space="0" w:color="auto"/>
              <w:right w:val="single" w:sz="4" w:space="0" w:color="auto"/>
            </w:tcBorders>
            <w:shd w:val="clear" w:color="000000" w:fill="FFFFFF"/>
            <w:hideMark/>
          </w:tcPr>
          <w:p w14:paraId="58CFDCAA" w14:textId="76931258" w:rsidR="00401CB5" w:rsidRPr="00367210" w:rsidRDefault="00EC4C55" w:rsidP="0049320F">
            <w:pPr>
              <w:autoSpaceDE/>
              <w:autoSpaceDN/>
              <w:adjustRightInd/>
              <w:spacing w:after="0"/>
              <w:rPr>
                <w:rFonts w:eastAsia="Times New Roman" w:cs="Arial"/>
                <w:sz w:val="20"/>
                <w:szCs w:val="20"/>
                <w:lang w:eastAsia="en-GB"/>
              </w:rPr>
            </w:pPr>
            <w:r>
              <w:rPr>
                <w:rFonts w:cs="Arial"/>
                <w:sz w:val="20"/>
                <w:szCs w:val="20"/>
              </w:rPr>
              <w:t>-0.686</w:t>
            </w:r>
            <w:r w:rsidR="00401CB5">
              <w:rPr>
                <w:rFonts w:cs="Arial"/>
                <w:sz w:val="20"/>
                <w:szCs w:val="20"/>
              </w:rPr>
              <w:t xml:space="preserve"> </w:t>
            </w:r>
          </w:p>
        </w:tc>
        <w:tc>
          <w:tcPr>
            <w:tcW w:w="1450" w:type="dxa"/>
            <w:tcBorders>
              <w:top w:val="nil"/>
              <w:left w:val="nil"/>
              <w:bottom w:val="single" w:sz="4" w:space="0" w:color="auto"/>
              <w:right w:val="single" w:sz="4" w:space="0" w:color="auto"/>
            </w:tcBorders>
            <w:shd w:val="clear" w:color="000000" w:fill="FFFFFF"/>
            <w:hideMark/>
          </w:tcPr>
          <w:p w14:paraId="39514D89" w14:textId="7040D556" w:rsidR="00401CB5" w:rsidRPr="00367210" w:rsidRDefault="00EC4C55" w:rsidP="0049320F">
            <w:pPr>
              <w:autoSpaceDE/>
              <w:autoSpaceDN/>
              <w:adjustRightInd/>
              <w:spacing w:after="0"/>
              <w:rPr>
                <w:rFonts w:eastAsia="Times New Roman" w:cs="Arial"/>
                <w:sz w:val="20"/>
                <w:szCs w:val="20"/>
                <w:lang w:eastAsia="en-GB"/>
              </w:rPr>
            </w:pPr>
            <w:r>
              <w:rPr>
                <w:rFonts w:cs="Arial"/>
                <w:sz w:val="20"/>
                <w:szCs w:val="20"/>
              </w:rPr>
              <w:t>-0.617</w:t>
            </w:r>
            <w:r w:rsidR="00401CB5">
              <w:rPr>
                <w:rFonts w:cs="Arial"/>
                <w:sz w:val="20"/>
                <w:szCs w:val="20"/>
              </w:rPr>
              <w:t xml:space="preserve"> </w:t>
            </w:r>
          </w:p>
        </w:tc>
        <w:tc>
          <w:tcPr>
            <w:tcW w:w="1450" w:type="dxa"/>
            <w:tcBorders>
              <w:top w:val="nil"/>
              <w:left w:val="nil"/>
              <w:bottom w:val="single" w:sz="4" w:space="0" w:color="auto"/>
              <w:right w:val="single" w:sz="4" w:space="0" w:color="auto"/>
            </w:tcBorders>
            <w:shd w:val="clear" w:color="000000" w:fill="FFFFFF"/>
            <w:hideMark/>
          </w:tcPr>
          <w:p w14:paraId="7F184A32" w14:textId="32737CC9" w:rsidR="00401CB5" w:rsidRPr="00367210" w:rsidRDefault="00401CB5" w:rsidP="0049320F">
            <w:pPr>
              <w:autoSpaceDE/>
              <w:autoSpaceDN/>
              <w:adjustRightInd/>
              <w:spacing w:after="0"/>
              <w:rPr>
                <w:rFonts w:eastAsia="Times New Roman" w:cs="Arial"/>
                <w:sz w:val="20"/>
                <w:szCs w:val="20"/>
                <w:lang w:eastAsia="en-GB"/>
              </w:rPr>
            </w:pPr>
            <w:r>
              <w:rPr>
                <w:rFonts w:cs="Arial"/>
                <w:sz w:val="20"/>
                <w:szCs w:val="20"/>
              </w:rPr>
              <w:t xml:space="preserve">0.069 </w:t>
            </w:r>
          </w:p>
        </w:tc>
      </w:tr>
      <w:tr w:rsidR="00401CB5" w:rsidRPr="00367210" w14:paraId="2D7BB55B" w14:textId="77777777" w:rsidTr="00BC6E80">
        <w:trPr>
          <w:trHeight w:val="273"/>
        </w:trPr>
        <w:tc>
          <w:tcPr>
            <w:tcW w:w="704" w:type="dxa"/>
            <w:tcBorders>
              <w:top w:val="nil"/>
              <w:left w:val="single" w:sz="4" w:space="0" w:color="auto"/>
              <w:bottom w:val="single" w:sz="4" w:space="0" w:color="auto"/>
              <w:right w:val="single" w:sz="4" w:space="0" w:color="auto"/>
            </w:tcBorders>
            <w:shd w:val="clear" w:color="000000" w:fill="FFFFFF"/>
            <w:noWrap/>
            <w:hideMark/>
          </w:tcPr>
          <w:p w14:paraId="6B004760" w14:textId="687BFA94" w:rsidR="00401CB5" w:rsidRPr="00367210" w:rsidRDefault="00622590" w:rsidP="0049320F">
            <w:pPr>
              <w:autoSpaceDE/>
              <w:autoSpaceDN/>
              <w:adjustRightInd/>
              <w:spacing w:after="0"/>
              <w:rPr>
                <w:rFonts w:eastAsia="Times New Roman" w:cs="Arial"/>
                <w:b/>
                <w:bCs/>
                <w:sz w:val="20"/>
                <w:szCs w:val="20"/>
                <w:lang w:eastAsia="en-GB"/>
              </w:rPr>
            </w:pPr>
            <w:r>
              <w:rPr>
                <w:rFonts w:eastAsia="Times New Roman" w:cs="Arial"/>
                <w:b/>
                <w:bCs/>
                <w:sz w:val="20"/>
                <w:szCs w:val="20"/>
                <w:lang w:eastAsia="en-GB"/>
              </w:rPr>
              <w:t>3.7</w:t>
            </w:r>
            <w:r w:rsidR="00401CB5" w:rsidRPr="00367210">
              <w:rPr>
                <w:rFonts w:eastAsia="Times New Roman" w:cs="Arial"/>
                <w:b/>
                <w:bCs/>
                <w:sz w:val="20"/>
                <w:szCs w:val="20"/>
                <w:lang w:eastAsia="en-GB"/>
              </w:rPr>
              <w:t>.2</w:t>
            </w:r>
          </w:p>
        </w:tc>
        <w:tc>
          <w:tcPr>
            <w:tcW w:w="4035" w:type="dxa"/>
            <w:tcBorders>
              <w:top w:val="nil"/>
              <w:left w:val="nil"/>
              <w:bottom w:val="single" w:sz="4" w:space="0" w:color="auto"/>
              <w:right w:val="single" w:sz="4" w:space="0" w:color="auto"/>
            </w:tcBorders>
            <w:shd w:val="clear" w:color="000000" w:fill="FFFFFF"/>
            <w:hideMark/>
          </w:tcPr>
          <w:p w14:paraId="04BF241E" w14:textId="7795F298" w:rsidR="00401CB5" w:rsidRPr="00367210" w:rsidRDefault="00401CB5" w:rsidP="00101492">
            <w:pPr>
              <w:autoSpaceDE/>
              <w:autoSpaceDN/>
              <w:adjustRightInd/>
              <w:spacing w:after="0"/>
              <w:jc w:val="left"/>
              <w:rPr>
                <w:rFonts w:eastAsia="Times New Roman" w:cs="Arial"/>
                <w:sz w:val="20"/>
                <w:szCs w:val="20"/>
                <w:lang w:eastAsia="en-GB"/>
              </w:rPr>
            </w:pPr>
            <w:r>
              <w:rPr>
                <w:rFonts w:cs="Arial"/>
                <w:sz w:val="20"/>
                <w:szCs w:val="20"/>
              </w:rPr>
              <w:t>SERVICE COMMUNICATIONS</w:t>
            </w:r>
          </w:p>
        </w:tc>
        <w:tc>
          <w:tcPr>
            <w:tcW w:w="1450" w:type="dxa"/>
            <w:tcBorders>
              <w:top w:val="nil"/>
              <w:left w:val="nil"/>
              <w:bottom w:val="single" w:sz="4" w:space="0" w:color="auto"/>
              <w:right w:val="single" w:sz="4" w:space="0" w:color="auto"/>
            </w:tcBorders>
            <w:shd w:val="clear" w:color="000000" w:fill="FFFFFF"/>
            <w:hideMark/>
          </w:tcPr>
          <w:p w14:paraId="33D9384A" w14:textId="3AD59FFF" w:rsidR="00401CB5" w:rsidRPr="00367210" w:rsidRDefault="00401CB5" w:rsidP="0049320F">
            <w:pPr>
              <w:autoSpaceDE/>
              <w:autoSpaceDN/>
              <w:adjustRightInd/>
              <w:spacing w:after="0"/>
              <w:rPr>
                <w:rFonts w:eastAsia="Times New Roman" w:cs="Arial"/>
                <w:sz w:val="20"/>
                <w:szCs w:val="20"/>
                <w:lang w:eastAsia="en-GB"/>
              </w:rPr>
            </w:pPr>
            <w:r>
              <w:rPr>
                <w:rFonts w:cs="Arial"/>
                <w:sz w:val="20"/>
                <w:szCs w:val="20"/>
              </w:rPr>
              <w:t xml:space="preserve">0.791 </w:t>
            </w:r>
          </w:p>
        </w:tc>
        <w:tc>
          <w:tcPr>
            <w:tcW w:w="1450" w:type="dxa"/>
            <w:tcBorders>
              <w:top w:val="nil"/>
              <w:left w:val="nil"/>
              <w:bottom w:val="single" w:sz="4" w:space="0" w:color="auto"/>
              <w:right w:val="single" w:sz="4" w:space="0" w:color="auto"/>
            </w:tcBorders>
            <w:shd w:val="clear" w:color="000000" w:fill="FFFFFF"/>
            <w:hideMark/>
          </w:tcPr>
          <w:p w14:paraId="2F513ADD" w14:textId="17A4DDF7" w:rsidR="00401CB5" w:rsidRPr="00367210" w:rsidRDefault="00401CB5" w:rsidP="0049320F">
            <w:pPr>
              <w:autoSpaceDE/>
              <w:autoSpaceDN/>
              <w:adjustRightInd/>
              <w:spacing w:after="0"/>
              <w:rPr>
                <w:rFonts w:eastAsia="Times New Roman" w:cs="Arial"/>
                <w:sz w:val="20"/>
                <w:szCs w:val="20"/>
                <w:lang w:eastAsia="en-GB"/>
              </w:rPr>
            </w:pPr>
            <w:r>
              <w:rPr>
                <w:rFonts w:cs="Arial"/>
                <w:sz w:val="20"/>
                <w:szCs w:val="20"/>
              </w:rPr>
              <w:t xml:space="preserve">0.791 </w:t>
            </w:r>
          </w:p>
        </w:tc>
        <w:tc>
          <w:tcPr>
            <w:tcW w:w="1450" w:type="dxa"/>
            <w:tcBorders>
              <w:top w:val="nil"/>
              <w:left w:val="nil"/>
              <w:bottom w:val="single" w:sz="4" w:space="0" w:color="auto"/>
              <w:right w:val="single" w:sz="4" w:space="0" w:color="auto"/>
            </w:tcBorders>
            <w:shd w:val="clear" w:color="000000" w:fill="FFFFFF"/>
            <w:hideMark/>
          </w:tcPr>
          <w:p w14:paraId="5A4BEACE" w14:textId="08337F91" w:rsidR="00401CB5" w:rsidRPr="00367210" w:rsidRDefault="00401CB5" w:rsidP="0049320F">
            <w:pPr>
              <w:autoSpaceDE/>
              <w:autoSpaceDN/>
              <w:adjustRightInd/>
              <w:spacing w:after="0"/>
              <w:rPr>
                <w:rFonts w:eastAsia="Times New Roman" w:cs="Arial"/>
                <w:sz w:val="20"/>
                <w:szCs w:val="20"/>
                <w:lang w:eastAsia="en-GB"/>
              </w:rPr>
            </w:pPr>
            <w:r>
              <w:rPr>
                <w:rFonts w:cs="Arial"/>
                <w:sz w:val="20"/>
                <w:szCs w:val="20"/>
              </w:rPr>
              <w:t xml:space="preserve">0.000 </w:t>
            </w:r>
          </w:p>
        </w:tc>
      </w:tr>
      <w:tr w:rsidR="00401CB5" w:rsidRPr="00367210" w14:paraId="00A9A7DB" w14:textId="77777777" w:rsidTr="00BC6E80">
        <w:trPr>
          <w:trHeight w:val="547"/>
        </w:trPr>
        <w:tc>
          <w:tcPr>
            <w:tcW w:w="704" w:type="dxa"/>
            <w:tcBorders>
              <w:top w:val="nil"/>
              <w:left w:val="single" w:sz="4" w:space="0" w:color="auto"/>
              <w:bottom w:val="single" w:sz="4" w:space="0" w:color="auto"/>
              <w:right w:val="single" w:sz="4" w:space="0" w:color="auto"/>
            </w:tcBorders>
            <w:shd w:val="clear" w:color="000000" w:fill="FFFFFF"/>
            <w:noWrap/>
            <w:hideMark/>
          </w:tcPr>
          <w:p w14:paraId="184CD495" w14:textId="78785320" w:rsidR="00401CB5" w:rsidRPr="00367210" w:rsidRDefault="00622590" w:rsidP="0049320F">
            <w:pPr>
              <w:autoSpaceDE/>
              <w:autoSpaceDN/>
              <w:adjustRightInd/>
              <w:spacing w:after="0"/>
              <w:rPr>
                <w:rFonts w:eastAsia="Times New Roman" w:cs="Arial"/>
                <w:b/>
                <w:bCs/>
                <w:sz w:val="20"/>
                <w:szCs w:val="20"/>
                <w:lang w:eastAsia="en-GB"/>
              </w:rPr>
            </w:pPr>
            <w:r>
              <w:rPr>
                <w:rFonts w:eastAsia="Times New Roman" w:cs="Arial"/>
                <w:b/>
                <w:bCs/>
                <w:sz w:val="20"/>
                <w:szCs w:val="20"/>
                <w:lang w:eastAsia="en-GB"/>
              </w:rPr>
              <w:t>3.7</w:t>
            </w:r>
            <w:r w:rsidR="00524679">
              <w:rPr>
                <w:rFonts w:eastAsia="Times New Roman" w:cs="Arial"/>
                <w:b/>
                <w:bCs/>
                <w:sz w:val="20"/>
                <w:szCs w:val="20"/>
                <w:lang w:eastAsia="en-GB"/>
              </w:rPr>
              <w:t>.3</w:t>
            </w:r>
          </w:p>
        </w:tc>
        <w:tc>
          <w:tcPr>
            <w:tcW w:w="4035" w:type="dxa"/>
            <w:tcBorders>
              <w:top w:val="nil"/>
              <w:left w:val="nil"/>
              <w:bottom w:val="single" w:sz="4" w:space="0" w:color="auto"/>
              <w:right w:val="single" w:sz="4" w:space="0" w:color="auto"/>
            </w:tcBorders>
            <w:shd w:val="clear" w:color="000000" w:fill="FFFFFF"/>
            <w:hideMark/>
          </w:tcPr>
          <w:p w14:paraId="568416B1" w14:textId="1C7FD47C" w:rsidR="00401CB5" w:rsidRPr="00367210" w:rsidRDefault="00401CB5" w:rsidP="00101492">
            <w:pPr>
              <w:autoSpaceDE/>
              <w:autoSpaceDN/>
              <w:adjustRightInd/>
              <w:spacing w:after="0"/>
              <w:jc w:val="left"/>
              <w:rPr>
                <w:rFonts w:eastAsia="Times New Roman" w:cs="Arial"/>
                <w:sz w:val="20"/>
                <w:szCs w:val="20"/>
                <w:lang w:eastAsia="en-GB"/>
              </w:rPr>
            </w:pPr>
            <w:r>
              <w:rPr>
                <w:rFonts w:cs="Arial"/>
                <w:sz w:val="20"/>
                <w:szCs w:val="20"/>
              </w:rPr>
              <w:t>LARGE SPECIFIC GRANTS TO SUPPORT THE AUTHORITY</w:t>
            </w:r>
          </w:p>
        </w:tc>
        <w:tc>
          <w:tcPr>
            <w:tcW w:w="1450" w:type="dxa"/>
            <w:tcBorders>
              <w:top w:val="nil"/>
              <w:left w:val="nil"/>
              <w:bottom w:val="single" w:sz="4" w:space="0" w:color="auto"/>
              <w:right w:val="single" w:sz="4" w:space="0" w:color="auto"/>
            </w:tcBorders>
            <w:shd w:val="clear" w:color="000000" w:fill="FFFFFF"/>
            <w:hideMark/>
          </w:tcPr>
          <w:p w14:paraId="246777D8" w14:textId="62079CAE" w:rsidR="00401CB5" w:rsidRPr="00367210" w:rsidRDefault="00401CB5" w:rsidP="0049320F">
            <w:pPr>
              <w:autoSpaceDE/>
              <w:autoSpaceDN/>
              <w:adjustRightInd/>
              <w:spacing w:after="0"/>
              <w:rPr>
                <w:rFonts w:eastAsia="Times New Roman" w:cs="Arial"/>
                <w:sz w:val="20"/>
                <w:szCs w:val="20"/>
                <w:lang w:eastAsia="en-GB"/>
              </w:rPr>
            </w:pPr>
            <w:r>
              <w:rPr>
                <w:rFonts w:cs="Arial"/>
                <w:sz w:val="20"/>
                <w:szCs w:val="20"/>
              </w:rPr>
              <w:t xml:space="preserve">-14.589 </w:t>
            </w:r>
          </w:p>
        </w:tc>
        <w:tc>
          <w:tcPr>
            <w:tcW w:w="1450" w:type="dxa"/>
            <w:tcBorders>
              <w:top w:val="nil"/>
              <w:left w:val="nil"/>
              <w:bottom w:val="single" w:sz="4" w:space="0" w:color="auto"/>
              <w:right w:val="single" w:sz="4" w:space="0" w:color="auto"/>
            </w:tcBorders>
            <w:shd w:val="clear" w:color="000000" w:fill="FFFFFF"/>
            <w:hideMark/>
          </w:tcPr>
          <w:p w14:paraId="306D5064" w14:textId="3D718C43" w:rsidR="00401CB5" w:rsidRPr="00367210" w:rsidRDefault="00401CB5" w:rsidP="0049320F">
            <w:pPr>
              <w:autoSpaceDE/>
              <w:autoSpaceDN/>
              <w:adjustRightInd/>
              <w:spacing w:after="0"/>
              <w:rPr>
                <w:rFonts w:eastAsia="Times New Roman" w:cs="Arial"/>
                <w:sz w:val="20"/>
                <w:szCs w:val="20"/>
                <w:lang w:eastAsia="en-GB"/>
              </w:rPr>
            </w:pPr>
            <w:r>
              <w:rPr>
                <w:rFonts w:cs="Arial"/>
                <w:sz w:val="20"/>
                <w:szCs w:val="20"/>
              </w:rPr>
              <w:t xml:space="preserve">-14.589 </w:t>
            </w:r>
          </w:p>
        </w:tc>
        <w:tc>
          <w:tcPr>
            <w:tcW w:w="1450" w:type="dxa"/>
            <w:tcBorders>
              <w:top w:val="nil"/>
              <w:left w:val="nil"/>
              <w:bottom w:val="single" w:sz="4" w:space="0" w:color="auto"/>
              <w:right w:val="single" w:sz="4" w:space="0" w:color="auto"/>
            </w:tcBorders>
            <w:shd w:val="clear" w:color="000000" w:fill="FFFFFF"/>
            <w:hideMark/>
          </w:tcPr>
          <w:p w14:paraId="6CB1EBA2" w14:textId="5BDCB79E" w:rsidR="00401CB5" w:rsidRPr="00367210" w:rsidRDefault="00401CB5" w:rsidP="0049320F">
            <w:pPr>
              <w:autoSpaceDE/>
              <w:autoSpaceDN/>
              <w:adjustRightInd/>
              <w:spacing w:after="0"/>
              <w:rPr>
                <w:rFonts w:eastAsia="Times New Roman" w:cs="Arial"/>
                <w:sz w:val="20"/>
                <w:szCs w:val="20"/>
                <w:lang w:eastAsia="en-GB"/>
              </w:rPr>
            </w:pPr>
            <w:r>
              <w:rPr>
                <w:rFonts w:cs="Arial"/>
                <w:sz w:val="20"/>
                <w:szCs w:val="20"/>
              </w:rPr>
              <w:t xml:space="preserve">0.000 </w:t>
            </w:r>
          </w:p>
        </w:tc>
      </w:tr>
      <w:tr w:rsidR="00401CB5" w:rsidRPr="00367210" w14:paraId="0D2FFD5B" w14:textId="77777777" w:rsidTr="00BC6E80">
        <w:trPr>
          <w:trHeight w:val="547"/>
        </w:trPr>
        <w:tc>
          <w:tcPr>
            <w:tcW w:w="704" w:type="dxa"/>
            <w:tcBorders>
              <w:top w:val="nil"/>
              <w:left w:val="single" w:sz="4" w:space="0" w:color="auto"/>
              <w:bottom w:val="single" w:sz="4" w:space="0" w:color="auto"/>
              <w:right w:val="single" w:sz="4" w:space="0" w:color="auto"/>
            </w:tcBorders>
            <w:shd w:val="clear" w:color="000000" w:fill="FFFFFF"/>
            <w:noWrap/>
            <w:hideMark/>
          </w:tcPr>
          <w:p w14:paraId="079935BC" w14:textId="6C7D0CA8" w:rsidR="00401CB5" w:rsidRPr="00367210" w:rsidRDefault="00622590" w:rsidP="0049320F">
            <w:pPr>
              <w:autoSpaceDE/>
              <w:autoSpaceDN/>
              <w:adjustRightInd/>
              <w:spacing w:after="0"/>
              <w:rPr>
                <w:rFonts w:eastAsia="Times New Roman" w:cs="Arial"/>
                <w:b/>
                <w:bCs/>
                <w:sz w:val="20"/>
                <w:szCs w:val="20"/>
                <w:lang w:eastAsia="en-GB"/>
              </w:rPr>
            </w:pPr>
            <w:r>
              <w:rPr>
                <w:rFonts w:eastAsia="Times New Roman" w:cs="Arial"/>
                <w:b/>
                <w:bCs/>
                <w:sz w:val="20"/>
                <w:szCs w:val="20"/>
                <w:lang w:eastAsia="en-GB"/>
              </w:rPr>
              <w:t>3.7</w:t>
            </w:r>
            <w:r w:rsidR="00524679">
              <w:rPr>
                <w:rFonts w:eastAsia="Times New Roman" w:cs="Arial"/>
                <w:b/>
                <w:bCs/>
                <w:sz w:val="20"/>
                <w:szCs w:val="20"/>
                <w:lang w:eastAsia="en-GB"/>
              </w:rPr>
              <w:t>.4</w:t>
            </w:r>
          </w:p>
        </w:tc>
        <w:tc>
          <w:tcPr>
            <w:tcW w:w="4035" w:type="dxa"/>
            <w:tcBorders>
              <w:top w:val="nil"/>
              <w:left w:val="nil"/>
              <w:bottom w:val="single" w:sz="4" w:space="0" w:color="auto"/>
              <w:right w:val="single" w:sz="4" w:space="0" w:color="auto"/>
            </w:tcBorders>
            <w:shd w:val="clear" w:color="000000" w:fill="FFFFFF"/>
            <w:hideMark/>
          </w:tcPr>
          <w:p w14:paraId="1BAF111E" w14:textId="3F9C54A7" w:rsidR="00401CB5" w:rsidRPr="00367210" w:rsidRDefault="00401CB5" w:rsidP="00101492">
            <w:pPr>
              <w:autoSpaceDE/>
              <w:autoSpaceDN/>
              <w:adjustRightInd/>
              <w:spacing w:after="0"/>
              <w:jc w:val="left"/>
              <w:rPr>
                <w:rFonts w:eastAsia="Times New Roman" w:cs="Arial"/>
                <w:sz w:val="20"/>
                <w:szCs w:val="20"/>
                <w:lang w:eastAsia="en-GB"/>
              </w:rPr>
            </w:pPr>
            <w:r>
              <w:rPr>
                <w:rFonts w:cs="Arial"/>
                <w:sz w:val="20"/>
                <w:szCs w:val="20"/>
              </w:rPr>
              <w:t>NON SERVICE ISSUES CORPORATE BUDGETS</w:t>
            </w:r>
          </w:p>
        </w:tc>
        <w:tc>
          <w:tcPr>
            <w:tcW w:w="1450" w:type="dxa"/>
            <w:tcBorders>
              <w:top w:val="nil"/>
              <w:left w:val="nil"/>
              <w:bottom w:val="single" w:sz="4" w:space="0" w:color="auto"/>
              <w:right w:val="single" w:sz="4" w:space="0" w:color="auto"/>
            </w:tcBorders>
            <w:shd w:val="clear" w:color="000000" w:fill="FFFFFF"/>
            <w:hideMark/>
          </w:tcPr>
          <w:p w14:paraId="26306422" w14:textId="6D90E8FA" w:rsidR="00401CB5" w:rsidRPr="00367210" w:rsidRDefault="00C07543" w:rsidP="0049320F">
            <w:pPr>
              <w:autoSpaceDE/>
              <w:autoSpaceDN/>
              <w:adjustRightInd/>
              <w:spacing w:after="0"/>
              <w:rPr>
                <w:rFonts w:eastAsia="Times New Roman" w:cs="Arial"/>
                <w:sz w:val="20"/>
                <w:szCs w:val="20"/>
                <w:lang w:eastAsia="en-GB"/>
              </w:rPr>
            </w:pPr>
            <w:r>
              <w:rPr>
                <w:rFonts w:cs="Arial"/>
                <w:sz w:val="20"/>
                <w:szCs w:val="20"/>
              </w:rPr>
              <w:t>43.</w:t>
            </w:r>
            <w:r w:rsidR="00C95E08">
              <w:rPr>
                <w:rFonts w:cs="Arial"/>
                <w:sz w:val="20"/>
                <w:szCs w:val="20"/>
              </w:rPr>
              <w:t>848</w:t>
            </w:r>
            <w:r w:rsidR="00401CB5">
              <w:rPr>
                <w:rFonts w:cs="Arial"/>
                <w:sz w:val="20"/>
                <w:szCs w:val="20"/>
              </w:rPr>
              <w:t xml:space="preserve"> </w:t>
            </w:r>
          </w:p>
        </w:tc>
        <w:tc>
          <w:tcPr>
            <w:tcW w:w="1450" w:type="dxa"/>
            <w:tcBorders>
              <w:top w:val="nil"/>
              <w:left w:val="nil"/>
              <w:bottom w:val="single" w:sz="4" w:space="0" w:color="auto"/>
              <w:right w:val="single" w:sz="4" w:space="0" w:color="auto"/>
            </w:tcBorders>
            <w:shd w:val="clear" w:color="000000" w:fill="FFFFFF"/>
            <w:hideMark/>
          </w:tcPr>
          <w:p w14:paraId="297E3F56" w14:textId="273E67D2" w:rsidR="00401CB5" w:rsidRPr="00367210" w:rsidRDefault="00401CB5" w:rsidP="0049320F">
            <w:pPr>
              <w:autoSpaceDE/>
              <w:autoSpaceDN/>
              <w:adjustRightInd/>
              <w:spacing w:after="0"/>
              <w:rPr>
                <w:rFonts w:eastAsia="Times New Roman" w:cs="Arial"/>
                <w:sz w:val="20"/>
                <w:szCs w:val="20"/>
                <w:lang w:eastAsia="en-GB"/>
              </w:rPr>
            </w:pPr>
            <w:r>
              <w:rPr>
                <w:rFonts w:cs="Arial"/>
                <w:sz w:val="20"/>
                <w:szCs w:val="20"/>
              </w:rPr>
              <w:t>37.</w:t>
            </w:r>
            <w:r w:rsidR="00C07543">
              <w:rPr>
                <w:rFonts w:cs="Arial"/>
                <w:sz w:val="20"/>
                <w:szCs w:val="20"/>
              </w:rPr>
              <w:t>140</w:t>
            </w:r>
            <w:r>
              <w:rPr>
                <w:rFonts w:cs="Arial"/>
                <w:sz w:val="20"/>
                <w:szCs w:val="20"/>
              </w:rPr>
              <w:t xml:space="preserve"> </w:t>
            </w:r>
          </w:p>
        </w:tc>
        <w:tc>
          <w:tcPr>
            <w:tcW w:w="1450" w:type="dxa"/>
            <w:tcBorders>
              <w:top w:val="nil"/>
              <w:left w:val="nil"/>
              <w:bottom w:val="single" w:sz="4" w:space="0" w:color="auto"/>
              <w:right w:val="single" w:sz="4" w:space="0" w:color="auto"/>
            </w:tcBorders>
            <w:shd w:val="clear" w:color="000000" w:fill="FFFFFF"/>
            <w:hideMark/>
          </w:tcPr>
          <w:p w14:paraId="6B50934E" w14:textId="1122650E" w:rsidR="00401CB5" w:rsidRPr="00367210" w:rsidRDefault="00401CB5" w:rsidP="0049320F">
            <w:pPr>
              <w:autoSpaceDE/>
              <w:autoSpaceDN/>
              <w:adjustRightInd/>
              <w:spacing w:after="0"/>
              <w:rPr>
                <w:rFonts w:eastAsia="Times New Roman" w:cs="Arial"/>
                <w:sz w:val="20"/>
                <w:szCs w:val="20"/>
                <w:lang w:eastAsia="en-GB"/>
              </w:rPr>
            </w:pPr>
            <w:r>
              <w:rPr>
                <w:rFonts w:cs="Arial"/>
                <w:sz w:val="20"/>
                <w:szCs w:val="20"/>
              </w:rPr>
              <w:t>-</w:t>
            </w:r>
            <w:r w:rsidR="00C07543">
              <w:rPr>
                <w:rFonts w:cs="Arial"/>
                <w:sz w:val="20"/>
                <w:szCs w:val="20"/>
              </w:rPr>
              <w:t>6.</w:t>
            </w:r>
            <w:r w:rsidR="00C95E08">
              <w:rPr>
                <w:rFonts w:cs="Arial"/>
                <w:sz w:val="20"/>
                <w:szCs w:val="20"/>
              </w:rPr>
              <w:t>708</w:t>
            </w:r>
            <w:r>
              <w:rPr>
                <w:rFonts w:cs="Arial"/>
                <w:sz w:val="20"/>
                <w:szCs w:val="20"/>
              </w:rPr>
              <w:t xml:space="preserve"> </w:t>
            </w:r>
          </w:p>
        </w:tc>
      </w:tr>
      <w:tr w:rsidR="00401CB5" w:rsidRPr="00367210" w14:paraId="56B64031" w14:textId="77777777" w:rsidTr="00BC6E80">
        <w:trPr>
          <w:trHeight w:val="273"/>
        </w:trPr>
        <w:tc>
          <w:tcPr>
            <w:tcW w:w="704" w:type="dxa"/>
            <w:tcBorders>
              <w:top w:val="nil"/>
              <w:left w:val="single" w:sz="4" w:space="0" w:color="auto"/>
              <w:bottom w:val="single" w:sz="4" w:space="0" w:color="auto"/>
              <w:right w:val="single" w:sz="4" w:space="0" w:color="auto"/>
            </w:tcBorders>
            <w:shd w:val="clear" w:color="000000" w:fill="D9D9D9"/>
            <w:vAlign w:val="center"/>
            <w:hideMark/>
          </w:tcPr>
          <w:p w14:paraId="0517380C" w14:textId="77777777" w:rsidR="00401CB5" w:rsidRPr="00367210" w:rsidRDefault="00401CB5" w:rsidP="0049320F">
            <w:pPr>
              <w:autoSpaceDE/>
              <w:autoSpaceDN/>
              <w:adjustRightInd/>
              <w:spacing w:after="0"/>
              <w:rPr>
                <w:rFonts w:eastAsia="Times New Roman" w:cs="Arial"/>
                <w:b/>
                <w:bCs/>
                <w:sz w:val="20"/>
                <w:szCs w:val="20"/>
                <w:lang w:eastAsia="en-GB"/>
              </w:rPr>
            </w:pPr>
            <w:r w:rsidRPr="00367210">
              <w:rPr>
                <w:rFonts w:eastAsia="Times New Roman" w:cs="Arial"/>
                <w:b/>
                <w:bCs/>
                <w:sz w:val="20"/>
                <w:szCs w:val="20"/>
                <w:lang w:eastAsia="en-GB"/>
              </w:rPr>
              <w:t> </w:t>
            </w:r>
          </w:p>
        </w:tc>
        <w:tc>
          <w:tcPr>
            <w:tcW w:w="4035" w:type="dxa"/>
            <w:tcBorders>
              <w:top w:val="nil"/>
              <w:left w:val="nil"/>
              <w:bottom w:val="single" w:sz="4" w:space="0" w:color="auto"/>
              <w:right w:val="single" w:sz="4" w:space="0" w:color="auto"/>
            </w:tcBorders>
            <w:shd w:val="clear" w:color="000000" w:fill="D9D9D9"/>
            <w:vAlign w:val="center"/>
            <w:hideMark/>
          </w:tcPr>
          <w:p w14:paraId="66CDC95F" w14:textId="20984DF9" w:rsidR="00401CB5" w:rsidRPr="00367210" w:rsidRDefault="00401CB5" w:rsidP="0049320F">
            <w:pPr>
              <w:autoSpaceDE/>
              <w:autoSpaceDN/>
              <w:adjustRightInd/>
              <w:spacing w:after="0"/>
              <w:rPr>
                <w:rFonts w:eastAsia="Times New Roman" w:cs="Arial"/>
                <w:b/>
                <w:bCs/>
                <w:sz w:val="20"/>
                <w:szCs w:val="20"/>
                <w:lang w:eastAsia="en-GB"/>
              </w:rPr>
            </w:pPr>
            <w:r>
              <w:rPr>
                <w:rFonts w:cs="Arial"/>
                <w:b/>
                <w:bCs/>
                <w:sz w:val="20"/>
                <w:szCs w:val="20"/>
              </w:rPr>
              <w:t>TOTAL - CHIEF EXECUTIVE</w:t>
            </w:r>
          </w:p>
        </w:tc>
        <w:tc>
          <w:tcPr>
            <w:tcW w:w="1450" w:type="dxa"/>
            <w:tcBorders>
              <w:top w:val="nil"/>
              <w:left w:val="nil"/>
              <w:bottom w:val="single" w:sz="4" w:space="0" w:color="auto"/>
              <w:right w:val="single" w:sz="4" w:space="0" w:color="auto"/>
            </w:tcBorders>
            <w:shd w:val="clear" w:color="000000" w:fill="D9D9D9"/>
            <w:vAlign w:val="center"/>
            <w:hideMark/>
          </w:tcPr>
          <w:p w14:paraId="7FB3375F" w14:textId="25646E91" w:rsidR="00401CB5" w:rsidRPr="00367210" w:rsidRDefault="00C07543" w:rsidP="0049320F">
            <w:pPr>
              <w:autoSpaceDE/>
              <w:autoSpaceDN/>
              <w:adjustRightInd/>
              <w:spacing w:after="0"/>
              <w:rPr>
                <w:rFonts w:eastAsia="Times New Roman" w:cs="Arial"/>
                <w:b/>
                <w:bCs/>
                <w:sz w:val="20"/>
                <w:szCs w:val="20"/>
                <w:lang w:eastAsia="en-GB"/>
              </w:rPr>
            </w:pPr>
            <w:r>
              <w:rPr>
                <w:rFonts w:cs="Arial"/>
                <w:b/>
                <w:bCs/>
                <w:sz w:val="20"/>
                <w:szCs w:val="20"/>
              </w:rPr>
              <w:t>29.</w:t>
            </w:r>
            <w:r w:rsidR="00C95E08">
              <w:rPr>
                <w:rFonts w:cs="Arial"/>
                <w:b/>
                <w:bCs/>
                <w:sz w:val="20"/>
                <w:szCs w:val="20"/>
              </w:rPr>
              <w:t>364</w:t>
            </w:r>
            <w:r w:rsidR="00401CB5">
              <w:rPr>
                <w:rFonts w:cs="Arial"/>
                <w:b/>
                <w:bCs/>
                <w:sz w:val="20"/>
                <w:szCs w:val="20"/>
              </w:rPr>
              <w:t xml:space="preserve"> </w:t>
            </w:r>
          </w:p>
        </w:tc>
        <w:tc>
          <w:tcPr>
            <w:tcW w:w="1450" w:type="dxa"/>
            <w:tcBorders>
              <w:top w:val="nil"/>
              <w:left w:val="nil"/>
              <w:bottom w:val="single" w:sz="4" w:space="0" w:color="auto"/>
              <w:right w:val="single" w:sz="4" w:space="0" w:color="auto"/>
            </w:tcBorders>
            <w:shd w:val="clear" w:color="000000" w:fill="D9D9D9"/>
            <w:vAlign w:val="center"/>
            <w:hideMark/>
          </w:tcPr>
          <w:p w14:paraId="19602D01" w14:textId="01B5211A" w:rsidR="00401CB5" w:rsidRPr="00367210" w:rsidRDefault="00401CB5" w:rsidP="0049320F">
            <w:pPr>
              <w:autoSpaceDE/>
              <w:autoSpaceDN/>
              <w:adjustRightInd/>
              <w:spacing w:after="0"/>
              <w:rPr>
                <w:rFonts w:eastAsia="Times New Roman" w:cs="Arial"/>
                <w:b/>
                <w:bCs/>
                <w:sz w:val="20"/>
                <w:szCs w:val="20"/>
                <w:lang w:eastAsia="en-GB"/>
              </w:rPr>
            </w:pPr>
            <w:r>
              <w:rPr>
                <w:rFonts w:cs="Arial"/>
                <w:b/>
                <w:bCs/>
                <w:sz w:val="20"/>
                <w:szCs w:val="20"/>
              </w:rPr>
              <w:t>2</w:t>
            </w:r>
            <w:r w:rsidR="00C07543">
              <w:rPr>
                <w:rFonts w:cs="Arial"/>
                <w:b/>
                <w:bCs/>
                <w:sz w:val="20"/>
                <w:szCs w:val="20"/>
              </w:rPr>
              <w:t>2.725</w:t>
            </w:r>
            <w:r>
              <w:rPr>
                <w:rFonts w:cs="Arial"/>
                <w:b/>
                <w:bCs/>
                <w:sz w:val="20"/>
                <w:szCs w:val="20"/>
              </w:rPr>
              <w:t xml:space="preserve"> </w:t>
            </w:r>
          </w:p>
        </w:tc>
        <w:tc>
          <w:tcPr>
            <w:tcW w:w="1450" w:type="dxa"/>
            <w:tcBorders>
              <w:top w:val="nil"/>
              <w:left w:val="nil"/>
              <w:bottom w:val="single" w:sz="4" w:space="0" w:color="auto"/>
              <w:right w:val="single" w:sz="4" w:space="0" w:color="auto"/>
            </w:tcBorders>
            <w:shd w:val="clear" w:color="000000" w:fill="D9D9D9"/>
            <w:vAlign w:val="center"/>
            <w:hideMark/>
          </w:tcPr>
          <w:p w14:paraId="19AB2BA6" w14:textId="64357CAC" w:rsidR="00401CB5" w:rsidRPr="00367210" w:rsidRDefault="00C07543" w:rsidP="0049320F">
            <w:pPr>
              <w:autoSpaceDE/>
              <w:autoSpaceDN/>
              <w:adjustRightInd/>
              <w:spacing w:after="0"/>
              <w:rPr>
                <w:rFonts w:eastAsia="Times New Roman" w:cs="Arial"/>
                <w:b/>
                <w:bCs/>
                <w:sz w:val="20"/>
                <w:szCs w:val="20"/>
                <w:lang w:eastAsia="en-GB"/>
              </w:rPr>
            </w:pPr>
            <w:r>
              <w:rPr>
                <w:rFonts w:cs="Arial"/>
                <w:b/>
                <w:bCs/>
                <w:sz w:val="20"/>
                <w:szCs w:val="20"/>
              </w:rPr>
              <w:t>-6.</w:t>
            </w:r>
            <w:r w:rsidR="00C95E08">
              <w:rPr>
                <w:rFonts w:cs="Arial"/>
                <w:b/>
                <w:bCs/>
                <w:sz w:val="20"/>
                <w:szCs w:val="20"/>
              </w:rPr>
              <w:t>639</w:t>
            </w:r>
            <w:r w:rsidR="00401CB5">
              <w:rPr>
                <w:rFonts w:cs="Arial"/>
                <w:b/>
                <w:bCs/>
                <w:sz w:val="20"/>
                <w:szCs w:val="20"/>
              </w:rPr>
              <w:t xml:space="preserve"> </w:t>
            </w:r>
          </w:p>
        </w:tc>
      </w:tr>
    </w:tbl>
    <w:p w14:paraId="13D1F914" w14:textId="77777777" w:rsidR="00367210" w:rsidRPr="00CD771C" w:rsidRDefault="00367210" w:rsidP="0049320F">
      <w:pPr>
        <w:tabs>
          <w:tab w:val="left" w:pos="851"/>
          <w:tab w:val="left" w:pos="1418"/>
        </w:tabs>
        <w:spacing w:after="0"/>
        <w:contextualSpacing/>
        <w:rPr>
          <w:rFonts w:cs="Arial"/>
          <w:bCs/>
        </w:rPr>
      </w:pPr>
    </w:p>
    <w:p w14:paraId="4EE60AE6" w14:textId="26738884" w:rsidR="00CD771C" w:rsidRPr="00161FFE" w:rsidRDefault="00CD771C" w:rsidP="0049320F">
      <w:pPr>
        <w:spacing w:after="0"/>
        <w:contextualSpacing/>
        <w:rPr>
          <w:rFonts w:cs="Arial"/>
        </w:rPr>
      </w:pPr>
      <w:bookmarkStart w:id="0" w:name="_GoBack"/>
      <w:r w:rsidRPr="00161FFE">
        <w:rPr>
          <w:rFonts w:cs="Arial"/>
        </w:rPr>
        <w:t>The total net approved budget for Chief Executive in 2016/17 is £</w:t>
      </w:r>
      <w:r w:rsidR="00C95E08" w:rsidRPr="00161FFE">
        <w:rPr>
          <w:rFonts w:cs="Arial"/>
        </w:rPr>
        <w:t>29.364</w:t>
      </w:r>
      <w:r w:rsidRPr="00161FFE">
        <w:rPr>
          <w:rFonts w:cs="Arial"/>
        </w:rPr>
        <w:t xml:space="preserve">m.  As at the end of quarter 1 the service is </w:t>
      </w:r>
      <w:r w:rsidR="00C95E08" w:rsidRPr="00161FFE">
        <w:rPr>
          <w:rFonts w:cs="Arial"/>
        </w:rPr>
        <w:t>forecast to underspend by £6.639</w:t>
      </w:r>
      <w:r w:rsidRPr="00161FFE">
        <w:rPr>
          <w:rFonts w:cs="Arial"/>
        </w:rPr>
        <w:t>m.</w:t>
      </w:r>
      <w:r w:rsidR="00524679" w:rsidRPr="00161FFE">
        <w:rPr>
          <w:rFonts w:cs="Arial"/>
        </w:rPr>
        <w:t xml:space="preserve"> The budget includes the application of savings of £0.065m which has reduced the former contingencies budget to zero and is therefore not reported in the table above. </w:t>
      </w:r>
    </w:p>
    <w:p w14:paraId="0AF72947" w14:textId="77777777" w:rsidR="00CD771C" w:rsidRPr="00161FFE" w:rsidRDefault="00CD771C" w:rsidP="0049320F">
      <w:pPr>
        <w:tabs>
          <w:tab w:val="left" w:pos="851"/>
          <w:tab w:val="left" w:pos="1418"/>
        </w:tabs>
        <w:spacing w:after="0"/>
        <w:contextualSpacing/>
        <w:rPr>
          <w:rFonts w:cs="Arial"/>
          <w:bCs/>
        </w:rPr>
      </w:pPr>
    </w:p>
    <w:p w14:paraId="600DA465" w14:textId="702E04BA" w:rsidR="00CD771C" w:rsidRPr="00161FFE" w:rsidRDefault="00CD771C" w:rsidP="0049320F">
      <w:pPr>
        <w:tabs>
          <w:tab w:val="left" w:pos="851"/>
          <w:tab w:val="left" w:pos="1418"/>
        </w:tabs>
        <w:spacing w:after="0"/>
        <w:contextualSpacing/>
        <w:rPr>
          <w:rFonts w:cs="Arial"/>
          <w:b/>
        </w:rPr>
      </w:pPr>
      <w:r w:rsidRPr="00161FFE">
        <w:rPr>
          <w:rFonts w:cs="Arial"/>
          <w:b/>
        </w:rPr>
        <w:t>3.</w:t>
      </w:r>
      <w:r w:rsidR="00622590" w:rsidRPr="00161FFE">
        <w:rPr>
          <w:rFonts w:cs="Arial"/>
          <w:b/>
        </w:rPr>
        <w:t>7</w:t>
      </w:r>
      <w:r w:rsidRPr="00161FFE">
        <w:rPr>
          <w:rFonts w:cs="Arial"/>
          <w:b/>
        </w:rPr>
        <w:t>.1</w:t>
      </w:r>
      <w:r w:rsidRPr="00161FFE">
        <w:rPr>
          <w:rFonts w:cs="Arial"/>
          <w:b/>
        </w:rPr>
        <w:tab/>
        <w:t>Chief Executive</w:t>
      </w:r>
    </w:p>
    <w:p w14:paraId="14CA6083" w14:textId="77777777" w:rsidR="00CD771C" w:rsidRPr="00161FFE" w:rsidRDefault="00CD771C" w:rsidP="0049320F">
      <w:pPr>
        <w:tabs>
          <w:tab w:val="left" w:pos="851"/>
          <w:tab w:val="left" w:pos="1418"/>
        </w:tabs>
        <w:spacing w:after="0"/>
        <w:contextualSpacing/>
        <w:rPr>
          <w:rFonts w:cs="Arial"/>
          <w:bCs/>
        </w:rPr>
      </w:pPr>
    </w:p>
    <w:p w14:paraId="0A22B075" w14:textId="2C86BEEC" w:rsidR="00CD771C" w:rsidRPr="00161FFE" w:rsidRDefault="00CD771C" w:rsidP="0049320F">
      <w:pPr>
        <w:tabs>
          <w:tab w:val="left" w:pos="851"/>
          <w:tab w:val="left" w:pos="1418"/>
        </w:tabs>
        <w:spacing w:after="0"/>
        <w:contextualSpacing/>
        <w:rPr>
          <w:rFonts w:cs="Arial"/>
          <w:bCs/>
        </w:rPr>
      </w:pPr>
      <w:r w:rsidRPr="00161FFE">
        <w:rPr>
          <w:rFonts w:cs="Arial"/>
          <w:bCs/>
        </w:rPr>
        <w:t>No significant variance from budget i</w:t>
      </w:r>
      <w:r w:rsidR="00AA19DF" w:rsidRPr="00161FFE">
        <w:rPr>
          <w:rFonts w:cs="Arial"/>
          <w:bCs/>
        </w:rPr>
        <w:t xml:space="preserve">s forecast for Chief Executive. The forecast includes approved savings of £0.890m which is offset by the approved </w:t>
      </w:r>
      <w:r w:rsidRPr="00161FFE">
        <w:rPr>
          <w:rFonts w:cs="Arial"/>
          <w:bCs/>
        </w:rPr>
        <w:t xml:space="preserve">application of non-recurrent funding of </w:t>
      </w:r>
      <w:r w:rsidR="00AA19DF" w:rsidRPr="00161FFE">
        <w:rPr>
          <w:rFonts w:cs="Arial"/>
          <w:bCs/>
        </w:rPr>
        <w:t xml:space="preserve">£0.930m from the Transitional Reserve to cover staff costs (specifically Executive Directors, Directors and Executive Support). In addition </w:t>
      </w:r>
      <w:r w:rsidRPr="00161FFE">
        <w:rPr>
          <w:rFonts w:cs="Arial"/>
          <w:bCs/>
        </w:rPr>
        <w:t xml:space="preserve">£1.033m </w:t>
      </w:r>
      <w:r w:rsidR="00AA19DF" w:rsidRPr="00161FFE">
        <w:rPr>
          <w:rFonts w:cs="Arial"/>
          <w:bCs/>
        </w:rPr>
        <w:t xml:space="preserve">has been forecast to be drawn down </w:t>
      </w:r>
      <w:r w:rsidRPr="00161FFE">
        <w:rPr>
          <w:rFonts w:cs="Arial"/>
          <w:bCs/>
        </w:rPr>
        <w:t>from the Transitional Reserve to cover the cost of work bein</w:t>
      </w:r>
      <w:r w:rsidR="00AA19DF" w:rsidRPr="00161FFE">
        <w:rPr>
          <w:rFonts w:cs="Arial"/>
          <w:bCs/>
        </w:rPr>
        <w:t xml:space="preserve">g undertaken by PwC. </w:t>
      </w:r>
    </w:p>
    <w:p w14:paraId="32E52C00" w14:textId="77777777" w:rsidR="00CD771C" w:rsidRPr="00161FFE" w:rsidRDefault="00CD771C" w:rsidP="0049320F">
      <w:pPr>
        <w:tabs>
          <w:tab w:val="left" w:pos="851"/>
          <w:tab w:val="left" w:pos="1418"/>
        </w:tabs>
        <w:spacing w:after="0"/>
        <w:contextualSpacing/>
        <w:rPr>
          <w:rFonts w:cs="Arial"/>
          <w:bCs/>
        </w:rPr>
      </w:pPr>
    </w:p>
    <w:p w14:paraId="2497AC9D" w14:textId="13130607" w:rsidR="00367210" w:rsidRPr="00161FFE" w:rsidRDefault="00622590" w:rsidP="0049320F">
      <w:pPr>
        <w:tabs>
          <w:tab w:val="left" w:pos="851"/>
          <w:tab w:val="left" w:pos="1418"/>
        </w:tabs>
        <w:spacing w:after="0"/>
        <w:contextualSpacing/>
        <w:rPr>
          <w:rFonts w:cs="Arial"/>
          <w:b/>
        </w:rPr>
      </w:pPr>
      <w:r w:rsidRPr="00161FFE">
        <w:rPr>
          <w:rFonts w:cs="Arial"/>
          <w:b/>
        </w:rPr>
        <w:t>3.7</w:t>
      </w:r>
      <w:r w:rsidR="00367210" w:rsidRPr="00161FFE">
        <w:rPr>
          <w:rFonts w:cs="Arial"/>
          <w:b/>
        </w:rPr>
        <w:t>.2</w:t>
      </w:r>
      <w:r w:rsidR="00367210" w:rsidRPr="00161FFE">
        <w:rPr>
          <w:rFonts w:cs="Arial"/>
          <w:b/>
        </w:rPr>
        <w:tab/>
        <w:t>Service Communications</w:t>
      </w:r>
    </w:p>
    <w:p w14:paraId="69C5C7D1" w14:textId="77777777" w:rsidR="00367210" w:rsidRPr="00161FFE" w:rsidRDefault="00367210" w:rsidP="0049320F">
      <w:pPr>
        <w:tabs>
          <w:tab w:val="left" w:pos="851"/>
          <w:tab w:val="left" w:pos="1418"/>
        </w:tabs>
        <w:spacing w:after="0"/>
        <w:contextualSpacing/>
        <w:rPr>
          <w:rFonts w:cs="Arial"/>
        </w:rPr>
      </w:pPr>
    </w:p>
    <w:p w14:paraId="70435949" w14:textId="77777777" w:rsidR="00CD771C" w:rsidRPr="00161FFE" w:rsidRDefault="00CD771C" w:rsidP="0049320F">
      <w:pPr>
        <w:tabs>
          <w:tab w:val="left" w:pos="851"/>
          <w:tab w:val="left" w:pos="1418"/>
        </w:tabs>
        <w:spacing w:after="0"/>
        <w:contextualSpacing/>
        <w:rPr>
          <w:rFonts w:cs="Arial"/>
        </w:rPr>
      </w:pPr>
      <w:r w:rsidRPr="00161FFE">
        <w:rPr>
          <w:rFonts w:cs="Arial"/>
        </w:rPr>
        <w:t>No variance from budget is forecast for Service Communications.</w:t>
      </w:r>
    </w:p>
    <w:p w14:paraId="62C547E5" w14:textId="77777777" w:rsidR="00CD771C" w:rsidRPr="00161FFE" w:rsidRDefault="00CD771C" w:rsidP="0049320F">
      <w:pPr>
        <w:tabs>
          <w:tab w:val="left" w:pos="851"/>
          <w:tab w:val="left" w:pos="1418"/>
        </w:tabs>
        <w:spacing w:after="0"/>
        <w:contextualSpacing/>
        <w:rPr>
          <w:rFonts w:cs="Arial"/>
        </w:rPr>
      </w:pPr>
    </w:p>
    <w:p w14:paraId="365FEA94" w14:textId="2603291A" w:rsidR="00CD771C" w:rsidRPr="00161FFE" w:rsidRDefault="00CD771C" w:rsidP="0049320F">
      <w:pPr>
        <w:tabs>
          <w:tab w:val="left" w:pos="851"/>
          <w:tab w:val="left" w:pos="1418"/>
        </w:tabs>
        <w:spacing w:after="0"/>
        <w:contextualSpacing/>
        <w:rPr>
          <w:rFonts w:cs="Arial"/>
        </w:rPr>
      </w:pPr>
      <w:r w:rsidRPr="00161FFE">
        <w:rPr>
          <w:rFonts w:cs="Arial"/>
        </w:rPr>
        <w:t xml:space="preserve">The forecast includes </w:t>
      </w:r>
      <w:r w:rsidR="00BC6E80" w:rsidRPr="00161FFE">
        <w:rPr>
          <w:rFonts w:cs="Arial"/>
        </w:rPr>
        <w:t xml:space="preserve">an approved saving of £0.829m which is offset by the </w:t>
      </w:r>
      <w:r w:rsidRPr="00161FFE">
        <w:rPr>
          <w:rFonts w:cs="Arial"/>
        </w:rPr>
        <w:t>application of non-recurrent funding of £0.618m from the Transition</w:t>
      </w:r>
      <w:r w:rsidR="00BC6E80" w:rsidRPr="00161FFE">
        <w:rPr>
          <w:rFonts w:cs="Arial"/>
        </w:rPr>
        <w:t xml:space="preserve">al Reserve. This was approved to be £0.760m, however due to the early delivery of savings the amount required has now been reduced. </w:t>
      </w:r>
    </w:p>
    <w:p w14:paraId="44156377" w14:textId="77777777" w:rsidR="00174677" w:rsidRPr="00161FFE" w:rsidRDefault="00174677" w:rsidP="0049320F">
      <w:pPr>
        <w:tabs>
          <w:tab w:val="left" w:pos="851"/>
          <w:tab w:val="left" w:pos="1418"/>
        </w:tabs>
        <w:spacing w:after="0"/>
        <w:rPr>
          <w:rFonts w:cs="Arial"/>
          <w:b/>
        </w:rPr>
      </w:pPr>
    </w:p>
    <w:p w14:paraId="021F9C65" w14:textId="16FA3121" w:rsidR="00367210" w:rsidRPr="00161FFE" w:rsidRDefault="00622590" w:rsidP="0049320F">
      <w:pPr>
        <w:tabs>
          <w:tab w:val="left" w:pos="851"/>
          <w:tab w:val="left" w:pos="1418"/>
        </w:tabs>
        <w:spacing w:after="0"/>
        <w:rPr>
          <w:rFonts w:cs="Arial"/>
          <w:b/>
        </w:rPr>
      </w:pPr>
      <w:r w:rsidRPr="00161FFE">
        <w:rPr>
          <w:rFonts w:cs="Arial"/>
          <w:b/>
        </w:rPr>
        <w:t>3.7</w:t>
      </w:r>
      <w:r w:rsidR="00367210" w:rsidRPr="00161FFE">
        <w:rPr>
          <w:rFonts w:cs="Arial"/>
          <w:b/>
        </w:rPr>
        <w:t>.</w:t>
      </w:r>
      <w:r w:rsidR="00524679" w:rsidRPr="00161FFE">
        <w:rPr>
          <w:rFonts w:cs="Arial"/>
          <w:b/>
        </w:rPr>
        <w:t>4</w:t>
      </w:r>
      <w:r w:rsidR="00367210" w:rsidRPr="00161FFE">
        <w:rPr>
          <w:rFonts w:cs="Arial"/>
          <w:b/>
        </w:rPr>
        <w:tab/>
        <w:t xml:space="preserve">Non Service Issues Corporate Budgets </w:t>
      </w:r>
    </w:p>
    <w:p w14:paraId="11BF701D" w14:textId="77777777" w:rsidR="00367210" w:rsidRPr="00161FFE" w:rsidRDefault="00367210" w:rsidP="0049320F">
      <w:pPr>
        <w:tabs>
          <w:tab w:val="left" w:pos="851"/>
          <w:tab w:val="left" w:pos="1418"/>
        </w:tabs>
        <w:spacing w:after="0"/>
        <w:rPr>
          <w:rFonts w:cs="Arial"/>
          <w:b/>
        </w:rPr>
      </w:pPr>
    </w:p>
    <w:p w14:paraId="07E9C255" w14:textId="05DCE7EA" w:rsidR="00CD771C" w:rsidRPr="00161FFE" w:rsidRDefault="00CD771C" w:rsidP="0049320F">
      <w:pPr>
        <w:spacing w:after="0"/>
        <w:contextualSpacing/>
        <w:rPr>
          <w:rFonts w:cs="Arial"/>
        </w:rPr>
      </w:pPr>
      <w:r w:rsidRPr="00161FFE">
        <w:rPr>
          <w:rFonts w:cs="Arial"/>
        </w:rPr>
        <w:t>Non Service Issues Corporate Budgets is fore</w:t>
      </w:r>
      <w:r w:rsidR="00BC6E80" w:rsidRPr="00161FFE">
        <w:rPr>
          <w:rFonts w:cs="Arial"/>
        </w:rPr>
        <w:t>cast to underspend by £</w:t>
      </w:r>
      <w:r w:rsidR="006E3B4A" w:rsidRPr="00161FFE">
        <w:rPr>
          <w:rFonts w:cs="Arial"/>
        </w:rPr>
        <w:t>6.</w:t>
      </w:r>
      <w:r w:rsidR="00101492" w:rsidRPr="00161FFE">
        <w:rPr>
          <w:rFonts w:cs="Arial"/>
        </w:rPr>
        <w:t>708</w:t>
      </w:r>
      <w:r w:rsidRPr="00161FFE">
        <w:rPr>
          <w:rFonts w:cs="Arial"/>
        </w:rPr>
        <w:t xml:space="preserve">m in 2016/17.  </w:t>
      </w:r>
    </w:p>
    <w:p w14:paraId="2DD0EDA7" w14:textId="77777777" w:rsidR="00CD771C" w:rsidRPr="00161FFE" w:rsidRDefault="00CD771C" w:rsidP="0049320F">
      <w:pPr>
        <w:spacing w:after="0"/>
        <w:contextualSpacing/>
        <w:rPr>
          <w:rFonts w:cs="Arial"/>
        </w:rPr>
      </w:pPr>
    </w:p>
    <w:p w14:paraId="4339F10A" w14:textId="7B26A50D" w:rsidR="00CD771C" w:rsidRPr="00161FFE" w:rsidRDefault="00C07543" w:rsidP="0049320F">
      <w:pPr>
        <w:pStyle w:val="ListParagraph"/>
        <w:numPr>
          <w:ilvl w:val="0"/>
          <w:numId w:val="27"/>
        </w:numPr>
        <w:autoSpaceDE/>
        <w:autoSpaceDN/>
        <w:adjustRightInd/>
        <w:spacing w:after="0"/>
        <w:rPr>
          <w:rFonts w:cs="Arial"/>
        </w:rPr>
      </w:pPr>
      <w:r w:rsidRPr="00161FFE">
        <w:rPr>
          <w:rFonts w:cs="Arial"/>
        </w:rPr>
        <w:t>Forecast underspends of £1.588</w:t>
      </w:r>
      <w:r w:rsidR="00CD771C" w:rsidRPr="00161FFE">
        <w:rPr>
          <w:rFonts w:cs="Arial"/>
        </w:rPr>
        <w:t>m relate</w:t>
      </w:r>
      <w:r w:rsidR="00CB3546" w:rsidRPr="00161FFE">
        <w:rPr>
          <w:rFonts w:cs="Arial"/>
        </w:rPr>
        <w:t>s to</w:t>
      </w:r>
      <w:r w:rsidR="00E11106" w:rsidRPr="00161FFE">
        <w:rPr>
          <w:rFonts w:cs="Arial"/>
        </w:rPr>
        <w:t xml:space="preserve"> inherited liabilities and central employers </w:t>
      </w:r>
      <w:r w:rsidR="00CD771C" w:rsidRPr="00161FFE">
        <w:rPr>
          <w:rFonts w:cs="Arial"/>
        </w:rPr>
        <w:t>costs</w:t>
      </w:r>
      <w:r w:rsidR="00E11106" w:rsidRPr="00161FFE">
        <w:rPr>
          <w:rFonts w:cs="Arial"/>
        </w:rPr>
        <w:t xml:space="preserve">. This forecast is a continuation of </w:t>
      </w:r>
      <w:proofErr w:type="gramStart"/>
      <w:r w:rsidR="00E11106" w:rsidRPr="00161FFE">
        <w:rPr>
          <w:rFonts w:cs="Arial"/>
        </w:rPr>
        <w:t>the underspend</w:t>
      </w:r>
      <w:proofErr w:type="gramEnd"/>
      <w:r w:rsidR="00E11106" w:rsidRPr="00161FFE">
        <w:rPr>
          <w:rFonts w:cs="Arial"/>
        </w:rPr>
        <w:t xml:space="preserve"> reported in 2015/16 albeit currently forecast to be higher than the previous year's underspend.  </w:t>
      </w:r>
    </w:p>
    <w:p w14:paraId="20E0F084" w14:textId="212C1088" w:rsidR="00CD771C" w:rsidRPr="00161FFE" w:rsidRDefault="00CD771C" w:rsidP="0049320F">
      <w:pPr>
        <w:pStyle w:val="ListParagraph"/>
        <w:numPr>
          <w:ilvl w:val="0"/>
          <w:numId w:val="27"/>
        </w:numPr>
        <w:autoSpaceDE/>
        <w:autoSpaceDN/>
        <w:adjustRightInd/>
        <w:spacing w:after="0"/>
        <w:rPr>
          <w:rFonts w:cs="Arial"/>
        </w:rPr>
      </w:pPr>
      <w:r w:rsidRPr="00161FFE">
        <w:rPr>
          <w:rFonts w:cs="Arial"/>
        </w:rPr>
        <w:t xml:space="preserve">Strategic is </w:t>
      </w:r>
      <w:r w:rsidR="00C95E08" w:rsidRPr="00161FFE">
        <w:rPr>
          <w:rFonts w:cs="Arial"/>
        </w:rPr>
        <w:t>forecast to underspend by £1.620</w:t>
      </w:r>
      <w:r w:rsidRPr="00161FFE">
        <w:rPr>
          <w:rFonts w:cs="Arial"/>
        </w:rPr>
        <w:t xml:space="preserve">m.  The strategic budget funds an annual contribution to the City Deal of £1.295m </w:t>
      </w:r>
      <w:r w:rsidR="00CB3546" w:rsidRPr="00161FFE">
        <w:rPr>
          <w:rFonts w:cs="Arial"/>
        </w:rPr>
        <w:t xml:space="preserve">which is currently forecast to be not required. </w:t>
      </w:r>
    </w:p>
    <w:p w14:paraId="7077B04C" w14:textId="77777777" w:rsidR="00CD771C" w:rsidRPr="00161FFE" w:rsidRDefault="00CD771C" w:rsidP="0049320F">
      <w:pPr>
        <w:pStyle w:val="ListParagraph"/>
        <w:numPr>
          <w:ilvl w:val="0"/>
          <w:numId w:val="27"/>
        </w:numPr>
        <w:autoSpaceDE/>
        <w:autoSpaceDN/>
        <w:adjustRightInd/>
        <w:spacing w:after="0"/>
        <w:rPr>
          <w:rFonts w:cs="Arial"/>
        </w:rPr>
      </w:pPr>
      <w:r w:rsidRPr="00161FFE">
        <w:rPr>
          <w:rFonts w:cs="Arial"/>
        </w:rPr>
        <w:t xml:space="preserve">Treasury Management is forecast to underspend by £3.500m.  Of this £1.654m relates to forecast interest payable being lower than budgeted and the level of </w:t>
      </w:r>
      <w:r w:rsidRPr="00161FFE">
        <w:rPr>
          <w:rFonts w:cs="Arial"/>
        </w:rPr>
        <w:lastRenderedPageBreak/>
        <w:t>borrowings (net of shared investment scheme) reducing along with more favourable interest rates which has thereby reduced interest payable.  A further £1.846m relates to a forecast surplus on interest receivable largely due to gains incurred for the sale of core bonds offsetting the reduction in interest receivable on sold bonds which was reflected in the budget.</w:t>
      </w:r>
    </w:p>
    <w:p w14:paraId="3AB3443A" w14:textId="77777777" w:rsidR="00CD771C" w:rsidRPr="00161FFE" w:rsidRDefault="00CD771C" w:rsidP="0049320F">
      <w:pPr>
        <w:spacing w:after="0"/>
        <w:contextualSpacing/>
        <w:rPr>
          <w:rFonts w:cs="Arial"/>
        </w:rPr>
      </w:pPr>
    </w:p>
    <w:p w14:paraId="3061A956" w14:textId="6CB24AC7" w:rsidR="00BC6E80" w:rsidRPr="00161FFE" w:rsidRDefault="00792CD2" w:rsidP="0049320F">
      <w:pPr>
        <w:spacing w:after="0"/>
        <w:contextualSpacing/>
        <w:rPr>
          <w:rFonts w:cs="Arial"/>
        </w:rPr>
      </w:pPr>
      <w:r w:rsidRPr="00161FFE">
        <w:rPr>
          <w:rFonts w:cs="Arial"/>
        </w:rPr>
        <w:t xml:space="preserve">This budget contains the approved </w:t>
      </w:r>
      <w:r w:rsidR="00CD771C" w:rsidRPr="00161FFE">
        <w:rPr>
          <w:rFonts w:cs="Arial"/>
        </w:rPr>
        <w:t>appl</w:t>
      </w:r>
      <w:r w:rsidRPr="00161FFE">
        <w:rPr>
          <w:rFonts w:cs="Arial"/>
        </w:rPr>
        <w:t>ication of non-recurrent of £18</w:t>
      </w:r>
      <w:r w:rsidR="00BC6E80" w:rsidRPr="00161FFE">
        <w:rPr>
          <w:rFonts w:cs="Arial"/>
        </w:rPr>
        <w:t>.</w:t>
      </w:r>
      <w:r w:rsidR="00CD771C" w:rsidRPr="00161FFE">
        <w:rPr>
          <w:rFonts w:cs="Arial"/>
        </w:rPr>
        <w:t>286m from the Transitional Reserve.</w:t>
      </w:r>
      <w:r w:rsidRPr="00161FFE">
        <w:rPr>
          <w:rFonts w:cs="Arial"/>
        </w:rPr>
        <w:t xml:space="preserve"> This amount relates to the agreed application funds to support the shortfall in the County Council's revenue budget. This budget also includes an agreed £5.000m contribution from capital receipts, also to support the shortfall in the revenue budget. </w:t>
      </w:r>
    </w:p>
    <w:bookmarkEnd w:id="0"/>
    <w:p w14:paraId="2DAA1F63" w14:textId="77777777" w:rsidR="00BC6E80" w:rsidRDefault="00BC6E80" w:rsidP="0049320F">
      <w:pPr>
        <w:tabs>
          <w:tab w:val="left" w:pos="851"/>
          <w:tab w:val="left" w:pos="1418"/>
        </w:tabs>
        <w:spacing w:after="0"/>
        <w:ind w:left="851" w:hanging="851"/>
        <w:contextualSpacing/>
        <w:rPr>
          <w:rFonts w:cs="Arial"/>
          <w:b/>
          <w:bCs/>
        </w:rPr>
      </w:pPr>
    </w:p>
    <w:p w14:paraId="7282D5F4" w14:textId="77777777" w:rsidR="00BC6E80" w:rsidRDefault="00BC6E80" w:rsidP="0049320F">
      <w:pPr>
        <w:tabs>
          <w:tab w:val="left" w:pos="851"/>
          <w:tab w:val="left" w:pos="1418"/>
        </w:tabs>
        <w:spacing w:after="0"/>
        <w:ind w:left="851" w:hanging="851"/>
        <w:contextualSpacing/>
        <w:rPr>
          <w:rFonts w:cs="Arial"/>
          <w:b/>
          <w:bCs/>
        </w:rPr>
      </w:pPr>
    </w:p>
    <w:p w14:paraId="2056EC4D" w14:textId="77777777" w:rsidR="00BC6E80" w:rsidRDefault="00BC6E80" w:rsidP="0049320F">
      <w:pPr>
        <w:tabs>
          <w:tab w:val="left" w:pos="851"/>
          <w:tab w:val="left" w:pos="1418"/>
        </w:tabs>
        <w:spacing w:after="0"/>
        <w:ind w:left="851" w:hanging="851"/>
        <w:contextualSpacing/>
        <w:rPr>
          <w:rFonts w:cs="Arial"/>
          <w:b/>
          <w:bCs/>
        </w:rPr>
      </w:pPr>
    </w:p>
    <w:p w14:paraId="41B406C9" w14:textId="77777777" w:rsidR="00BC6E80" w:rsidRDefault="00BC6E80" w:rsidP="0049320F">
      <w:pPr>
        <w:tabs>
          <w:tab w:val="left" w:pos="851"/>
          <w:tab w:val="left" w:pos="1418"/>
        </w:tabs>
        <w:spacing w:after="0"/>
        <w:ind w:left="851" w:hanging="851"/>
        <w:contextualSpacing/>
        <w:rPr>
          <w:rFonts w:cs="Arial"/>
          <w:b/>
          <w:bCs/>
        </w:rPr>
      </w:pPr>
    </w:p>
    <w:p w14:paraId="32752B6E" w14:textId="77777777" w:rsidR="00BC6E80" w:rsidRDefault="00BC6E80" w:rsidP="0049320F">
      <w:pPr>
        <w:tabs>
          <w:tab w:val="left" w:pos="851"/>
          <w:tab w:val="left" w:pos="1418"/>
        </w:tabs>
        <w:spacing w:after="0"/>
        <w:ind w:left="851" w:hanging="851"/>
        <w:contextualSpacing/>
        <w:rPr>
          <w:rFonts w:cs="Arial"/>
          <w:b/>
          <w:bCs/>
        </w:rPr>
      </w:pPr>
    </w:p>
    <w:p w14:paraId="540FEFB4" w14:textId="77777777" w:rsidR="00BC6E80" w:rsidRDefault="00BC6E80" w:rsidP="0049320F">
      <w:pPr>
        <w:tabs>
          <w:tab w:val="left" w:pos="851"/>
          <w:tab w:val="left" w:pos="1418"/>
        </w:tabs>
        <w:spacing w:after="0"/>
        <w:ind w:left="851" w:hanging="851"/>
        <w:contextualSpacing/>
        <w:rPr>
          <w:rFonts w:cs="Arial"/>
          <w:b/>
          <w:bCs/>
        </w:rPr>
      </w:pPr>
    </w:p>
    <w:p w14:paraId="026BB6F1" w14:textId="77777777" w:rsidR="00BC6E80" w:rsidRDefault="00BC6E80" w:rsidP="0049320F">
      <w:pPr>
        <w:tabs>
          <w:tab w:val="left" w:pos="851"/>
          <w:tab w:val="left" w:pos="1418"/>
        </w:tabs>
        <w:spacing w:after="0"/>
        <w:ind w:left="851" w:hanging="851"/>
        <w:contextualSpacing/>
        <w:rPr>
          <w:rFonts w:cs="Arial"/>
          <w:b/>
          <w:bCs/>
        </w:rPr>
      </w:pPr>
    </w:p>
    <w:p w14:paraId="7955FA43" w14:textId="77777777" w:rsidR="00BC6E80" w:rsidRDefault="00BC6E80" w:rsidP="0049320F">
      <w:pPr>
        <w:tabs>
          <w:tab w:val="left" w:pos="851"/>
          <w:tab w:val="left" w:pos="1418"/>
        </w:tabs>
        <w:spacing w:after="0"/>
        <w:ind w:left="851" w:hanging="851"/>
        <w:contextualSpacing/>
        <w:rPr>
          <w:rFonts w:cs="Arial"/>
          <w:b/>
          <w:bCs/>
        </w:rPr>
      </w:pPr>
    </w:p>
    <w:p w14:paraId="726EDDD1" w14:textId="77777777" w:rsidR="00BC6E80" w:rsidRDefault="00BC6E80" w:rsidP="0049320F">
      <w:pPr>
        <w:tabs>
          <w:tab w:val="left" w:pos="851"/>
          <w:tab w:val="left" w:pos="1418"/>
        </w:tabs>
        <w:spacing w:after="0"/>
        <w:ind w:left="851" w:hanging="851"/>
        <w:contextualSpacing/>
        <w:rPr>
          <w:rFonts w:cs="Arial"/>
          <w:b/>
          <w:bCs/>
        </w:rPr>
      </w:pPr>
    </w:p>
    <w:p w14:paraId="2240870D" w14:textId="77777777" w:rsidR="00BC6E80" w:rsidRDefault="00BC6E80" w:rsidP="0049320F">
      <w:pPr>
        <w:tabs>
          <w:tab w:val="left" w:pos="851"/>
          <w:tab w:val="left" w:pos="1418"/>
        </w:tabs>
        <w:spacing w:after="0"/>
        <w:ind w:left="851" w:hanging="851"/>
        <w:contextualSpacing/>
        <w:rPr>
          <w:rFonts w:cs="Arial"/>
          <w:b/>
          <w:bCs/>
        </w:rPr>
      </w:pPr>
    </w:p>
    <w:p w14:paraId="2089B566" w14:textId="77777777" w:rsidR="00BC6E80" w:rsidRDefault="00BC6E80" w:rsidP="0049320F">
      <w:pPr>
        <w:tabs>
          <w:tab w:val="left" w:pos="851"/>
          <w:tab w:val="left" w:pos="1418"/>
        </w:tabs>
        <w:spacing w:after="0"/>
        <w:ind w:left="851" w:hanging="851"/>
        <w:contextualSpacing/>
        <w:rPr>
          <w:rFonts w:cs="Arial"/>
          <w:b/>
          <w:bCs/>
        </w:rPr>
      </w:pPr>
    </w:p>
    <w:p w14:paraId="5E00BBF5" w14:textId="77777777" w:rsidR="00BC6E80" w:rsidRDefault="00BC6E80" w:rsidP="0049320F">
      <w:pPr>
        <w:tabs>
          <w:tab w:val="left" w:pos="851"/>
          <w:tab w:val="left" w:pos="1418"/>
        </w:tabs>
        <w:spacing w:after="0"/>
        <w:ind w:left="851" w:hanging="851"/>
        <w:contextualSpacing/>
        <w:rPr>
          <w:rFonts w:cs="Arial"/>
          <w:b/>
          <w:bCs/>
        </w:rPr>
      </w:pPr>
    </w:p>
    <w:p w14:paraId="5D377ECB" w14:textId="77777777" w:rsidR="00BC6E80" w:rsidRDefault="00BC6E80" w:rsidP="0049320F">
      <w:pPr>
        <w:tabs>
          <w:tab w:val="left" w:pos="851"/>
          <w:tab w:val="left" w:pos="1418"/>
        </w:tabs>
        <w:spacing w:after="0"/>
        <w:ind w:left="851" w:hanging="851"/>
        <w:contextualSpacing/>
        <w:rPr>
          <w:rFonts w:cs="Arial"/>
          <w:b/>
          <w:bCs/>
        </w:rPr>
      </w:pPr>
    </w:p>
    <w:p w14:paraId="350814F4" w14:textId="77777777" w:rsidR="00BC6E80" w:rsidRDefault="00BC6E80" w:rsidP="0049320F">
      <w:pPr>
        <w:tabs>
          <w:tab w:val="left" w:pos="851"/>
          <w:tab w:val="left" w:pos="1418"/>
        </w:tabs>
        <w:spacing w:after="0"/>
        <w:ind w:left="851" w:hanging="851"/>
        <w:contextualSpacing/>
        <w:rPr>
          <w:rFonts w:cs="Arial"/>
          <w:b/>
          <w:bCs/>
        </w:rPr>
      </w:pPr>
    </w:p>
    <w:p w14:paraId="12189B00" w14:textId="77777777" w:rsidR="00BC6E80" w:rsidRDefault="00BC6E80" w:rsidP="0049320F">
      <w:pPr>
        <w:tabs>
          <w:tab w:val="left" w:pos="851"/>
          <w:tab w:val="left" w:pos="1418"/>
        </w:tabs>
        <w:spacing w:after="0"/>
        <w:ind w:left="851" w:hanging="851"/>
        <w:contextualSpacing/>
        <w:rPr>
          <w:rFonts w:cs="Arial"/>
          <w:b/>
          <w:bCs/>
        </w:rPr>
      </w:pPr>
    </w:p>
    <w:p w14:paraId="54FF17FB" w14:textId="77777777" w:rsidR="00BC6E80" w:rsidRDefault="00BC6E80" w:rsidP="0049320F">
      <w:pPr>
        <w:tabs>
          <w:tab w:val="left" w:pos="851"/>
          <w:tab w:val="left" w:pos="1418"/>
        </w:tabs>
        <w:spacing w:after="0"/>
        <w:ind w:left="851" w:hanging="851"/>
        <w:contextualSpacing/>
        <w:rPr>
          <w:rFonts w:cs="Arial"/>
          <w:b/>
          <w:bCs/>
        </w:rPr>
      </w:pPr>
    </w:p>
    <w:p w14:paraId="5947CEE0" w14:textId="77777777" w:rsidR="00BC6E80" w:rsidRDefault="00BC6E80" w:rsidP="0049320F">
      <w:pPr>
        <w:tabs>
          <w:tab w:val="left" w:pos="851"/>
          <w:tab w:val="left" w:pos="1418"/>
        </w:tabs>
        <w:spacing w:after="0"/>
        <w:ind w:left="851" w:hanging="851"/>
        <w:contextualSpacing/>
        <w:rPr>
          <w:rFonts w:cs="Arial"/>
          <w:b/>
          <w:bCs/>
        </w:rPr>
      </w:pPr>
    </w:p>
    <w:p w14:paraId="32D84749" w14:textId="77777777" w:rsidR="00BC6E80" w:rsidRDefault="00BC6E80" w:rsidP="0049320F">
      <w:pPr>
        <w:tabs>
          <w:tab w:val="left" w:pos="851"/>
          <w:tab w:val="left" w:pos="1418"/>
        </w:tabs>
        <w:spacing w:after="0"/>
        <w:ind w:left="851" w:hanging="851"/>
        <w:contextualSpacing/>
        <w:rPr>
          <w:rFonts w:cs="Arial"/>
          <w:b/>
          <w:bCs/>
        </w:rPr>
      </w:pPr>
    </w:p>
    <w:p w14:paraId="2E33822E" w14:textId="77777777" w:rsidR="00BC6E80" w:rsidRDefault="00BC6E80" w:rsidP="0049320F">
      <w:pPr>
        <w:tabs>
          <w:tab w:val="left" w:pos="851"/>
          <w:tab w:val="left" w:pos="1418"/>
        </w:tabs>
        <w:spacing w:after="0"/>
        <w:ind w:left="851" w:hanging="851"/>
        <w:contextualSpacing/>
        <w:rPr>
          <w:rFonts w:cs="Arial"/>
          <w:b/>
          <w:bCs/>
        </w:rPr>
      </w:pPr>
    </w:p>
    <w:p w14:paraId="0915DD34" w14:textId="77777777" w:rsidR="00BC6E80" w:rsidRDefault="00BC6E80" w:rsidP="0049320F">
      <w:pPr>
        <w:tabs>
          <w:tab w:val="left" w:pos="851"/>
          <w:tab w:val="left" w:pos="1418"/>
        </w:tabs>
        <w:spacing w:after="0"/>
        <w:ind w:left="851" w:hanging="851"/>
        <w:contextualSpacing/>
        <w:rPr>
          <w:rFonts w:cs="Arial"/>
          <w:b/>
          <w:bCs/>
        </w:rPr>
      </w:pPr>
    </w:p>
    <w:p w14:paraId="26D3DA1A" w14:textId="77777777" w:rsidR="00BC6E80" w:rsidRDefault="00BC6E80" w:rsidP="0049320F">
      <w:pPr>
        <w:tabs>
          <w:tab w:val="left" w:pos="851"/>
          <w:tab w:val="left" w:pos="1418"/>
        </w:tabs>
        <w:spacing w:after="0"/>
        <w:ind w:left="851" w:hanging="851"/>
        <w:contextualSpacing/>
        <w:rPr>
          <w:rFonts w:cs="Arial"/>
          <w:b/>
          <w:bCs/>
        </w:rPr>
      </w:pPr>
    </w:p>
    <w:p w14:paraId="2862D27E" w14:textId="77777777" w:rsidR="00BC6E80" w:rsidRDefault="00BC6E80" w:rsidP="0049320F">
      <w:pPr>
        <w:tabs>
          <w:tab w:val="left" w:pos="851"/>
          <w:tab w:val="left" w:pos="1418"/>
        </w:tabs>
        <w:spacing w:after="0"/>
        <w:ind w:left="851" w:hanging="851"/>
        <w:contextualSpacing/>
        <w:rPr>
          <w:rFonts w:cs="Arial"/>
          <w:b/>
          <w:bCs/>
        </w:rPr>
      </w:pPr>
    </w:p>
    <w:p w14:paraId="7231E457" w14:textId="77777777" w:rsidR="00BC6E80" w:rsidRDefault="00BC6E80" w:rsidP="0049320F">
      <w:pPr>
        <w:tabs>
          <w:tab w:val="left" w:pos="851"/>
          <w:tab w:val="left" w:pos="1418"/>
        </w:tabs>
        <w:spacing w:after="0"/>
        <w:ind w:left="851" w:hanging="851"/>
        <w:contextualSpacing/>
        <w:rPr>
          <w:rFonts w:cs="Arial"/>
          <w:b/>
          <w:bCs/>
        </w:rPr>
      </w:pPr>
    </w:p>
    <w:p w14:paraId="7F11E320" w14:textId="77777777" w:rsidR="00BC6E80" w:rsidRDefault="00BC6E80" w:rsidP="0049320F">
      <w:pPr>
        <w:tabs>
          <w:tab w:val="left" w:pos="851"/>
          <w:tab w:val="left" w:pos="1418"/>
        </w:tabs>
        <w:spacing w:after="0"/>
        <w:ind w:left="851" w:hanging="851"/>
        <w:contextualSpacing/>
        <w:rPr>
          <w:rFonts w:cs="Arial"/>
          <w:b/>
          <w:bCs/>
        </w:rPr>
      </w:pPr>
    </w:p>
    <w:p w14:paraId="6C4336D6" w14:textId="77777777" w:rsidR="00BC6E80" w:rsidRPr="00080E55" w:rsidRDefault="00BC6E80" w:rsidP="0049320F">
      <w:pPr>
        <w:tabs>
          <w:tab w:val="left" w:pos="851"/>
          <w:tab w:val="left" w:pos="1418"/>
        </w:tabs>
        <w:spacing w:after="0"/>
        <w:ind w:left="851" w:hanging="851"/>
        <w:contextualSpacing/>
        <w:rPr>
          <w:rFonts w:cs="Arial"/>
          <w:b/>
          <w:bCs/>
        </w:rPr>
      </w:pPr>
    </w:p>
    <w:p w14:paraId="7E11DFF4" w14:textId="5FB4237C" w:rsidR="00C604B5" w:rsidRPr="00431B9C" w:rsidRDefault="00C604B5" w:rsidP="0049320F">
      <w:pPr>
        <w:autoSpaceDE/>
        <w:autoSpaceDN/>
        <w:adjustRightInd/>
        <w:spacing w:after="0"/>
        <w:rPr>
          <w:b/>
        </w:rPr>
      </w:pPr>
    </w:p>
    <w:sectPr w:rsidR="00C604B5" w:rsidRPr="00431B9C" w:rsidSect="00054520">
      <w:pgSz w:w="11906" w:h="16838"/>
      <w:pgMar w:top="567" w:right="1361" w:bottom="567" w:left="136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CD7D1" w14:textId="77777777" w:rsidR="00C861A5" w:rsidRDefault="00C861A5" w:rsidP="00124FDC">
      <w:pPr>
        <w:spacing w:after="0"/>
      </w:pPr>
      <w:r>
        <w:separator/>
      </w:r>
    </w:p>
  </w:endnote>
  <w:endnote w:type="continuationSeparator" w:id="0">
    <w:p w14:paraId="4D6EA864" w14:textId="77777777" w:rsidR="00C861A5" w:rsidRDefault="00C861A5"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1CB66" w14:textId="77777777" w:rsidR="00C861A5" w:rsidRDefault="00C861A5">
    <w:pPr>
      <w:pStyle w:val="Foo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161FFE">
      <w:rPr>
        <w:caps/>
        <w:noProof/>
        <w:color w:val="4F81BD" w:themeColor="accent1"/>
      </w:rPr>
      <w:t>24</w:t>
    </w:r>
    <w:r>
      <w:rPr>
        <w:caps/>
        <w:noProof/>
        <w:color w:val="4F81BD" w:themeColor="accent1"/>
      </w:rPr>
      <w:fldChar w:fldCharType="end"/>
    </w:r>
  </w:p>
  <w:p w14:paraId="21BFBF30" w14:textId="77777777" w:rsidR="00C861A5" w:rsidRDefault="00C86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511D4" w14:textId="77777777" w:rsidR="00C861A5" w:rsidRDefault="00C861A5" w:rsidP="00124FDC">
      <w:pPr>
        <w:spacing w:after="0"/>
      </w:pPr>
      <w:r>
        <w:separator/>
      </w:r>
    </w:p>
  </w:footnote>
  <w:footnote w:type="continuationSeparator" w:id="0">
    <w:p w14:paraId="158FF254" w14:textId="77777777" w:rsidR="00C861A5" w:rsidRDefault="00C861A5" w:rsidP="00124F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B64B1" w14:textId="1219AD7D" w:rsidR="00C861A5" w:rsidRDefault="00C861A5">
    <w:pPr>
      <w:pStyle w:val="Header"/>
    </w:pPr>
    <w:r>
      <w:rPr>
        <w:noProof/>
        <w:lang w:eastAsia="en-GB"/>
      </w:rPr>
      <w:drawing>
        <wp:anchor distT="0" distB="0" distL="114300" distR="114300" simplePos="0" relativeHeight="251656192" behindDoc="1" locked="0" layoutInCell="1" allowOverlap="1" wp14:anchorId="08CE6237" wp14:editId="709AA035">
          <wp:simplePos x="0" y="0"/>
          <wp:positionH relativeFrom="column">
            <wp:posOffset>-915035</wp:posOffset>
          </wp:positionH>
          <wp:positionV relativeFrom="paragraph">
            <wp:posOffset>-189230</wp:posOffset>
          </wp:positionV>
          <wp:extent cx="7548880" cy="6653530"/>
          <wp:effectExtent l="19050" t="0" r="0" b="0"/>
          <wp:wrapNone/>
          <wp:docPr id="6" name="Picture 12" descr="Ins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side1"/>
                  <pic:cNvPicPr>
                    <a:picLocks noChangeAspect="1" noChangeArrowheads="1"/>
                  </pic:cNvPicPr>
                </pic:nvPicPr>
                <pic:blipFill>
                  <a:blip r:embed="rId1"/>
                  <a:srcRect b="37526"/>
                  <a:stretch>
                    <a:fillRect/>
                  </a:stretch>
                </pic:blipFill>
                <pic:spPr bwMode="auto">
                  <a:xfrm>
                    <a:off x="0" y="0"/>
                    <a:ext cx="7548880" cy="665353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6D3D4" w14:textId="29F9D3B7" w:rsidR="00C861A5" w:rsidRDefault="00C861A5" w:rsidP="00846AEA">
    <w:pPr>
      <w:pStyle w:val="Header"/>
    </w:pPr>
    <w:r>
      <w:rPr>
        <w:noProof/>
        <w:lang w:eastAsia="en-GB"/>
      </w:rPr>
      <mc:AlternateContent>
        <mc:Choice Requires="wps">
          <w:drawing>
            <wp:anchor distT="45720" distB="45720" distL="114300" distR="114300" simplePos="0" relativeHeight="251658240" behindDoc="0" locked="0" layoutInCell="1" allowOverlap="1" wp14:anchorId="77011559" wp14:editId="7F9D0086">
              <wp:simplePos x="0" y="0"/>
              <wp:positionH relativeFrom="column">
                <wp:posOffset>5069840</wp:posOffset>
              </wp:positionH>
              <wp:positionV relativeFrom="paragraph">
                <wp:posOffset>-88265</wp:posOffset>
              </wp:positionV>
              <wp:extent cx="1104900" cy="295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5275"/>
                      </a:xfrm>
                      <a:prstGeom prst="rect">
                        <a:avLst/>
                      </a:prstGeom>
                      <a:solidFill>
                        <a:srgbClr val="FFFFFF"/>
                      </a:solidFill>
                      <a:ln w="9525">
                        <a:solidFill>
                          <a:srgbClr val="000000"/>
                        </a:solidFill>
                        <a:miter lim="800000"/>
                        <a:headEnd/>
                        <a:tailEnd/>
                      </a:ln>
                    </wps:spPr>
                    <wps:txbx>
                      <w:txbxContent>
                        <w:p w14:paraId="2DCAA838" w14:textId="77777777" w:rsidR="00C861A5" w:rsidRPr="008D028B" w:rsidRDefault="00C861A5">
                          <w:pPr>
                            <w:rPr>
                              <w:b/>
                            </w:rPr>
                          </w:pPr>
                          <w:r w:rsidRPr="008D028B">
                            <w:rPr>
                              <w:b/>
                            </w:rPr>
                            <w:t>Appendix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011559" id="_x0000_t202" coordsize="21600,21600" o:spt="202" path="m,l,21600r21600,l21600,xe">
              <v:stroke joinstyle="miter"/>
              <v:path gradientshapeok="t" o:connecttype="rect"/>
            </v:shapetype>
            <v:shape id="Text Box 2" o:spid="_x0000_s1027" type="#_x0000_t202" style="position:absolute;left:0;text-align:left;margin-left:399.2pt;margin-top:-6.95pt;width:87pt;height:23.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">
              <v:textbox>
                <w:txbxContent>
                  <w:p w14:paraId="2DCAA838" w14:textId="77777777" w:rsidR="00C861A5" w:rsidRPr="008D028B" w:rsidRDefault="00C861A5">
                    <w:pPr>
                      <w:rPr>
                        <w:b/>
                      </w:rPr>
                    </w:pPr>
                    <w:r w:rsidRPr="008D028B">
                      <w:rPr>
                        <w:b/>
                      </w:rPr>
                      <w:t>Appendix A</w:t>
                    </w:r>
                  </w:p>
                </w:txbxContent>
              </v:textbox>
              <w10:wrap type="square"/>
            </v:shape>
          </w:pict>
        </mc:Fallback>
      </mc:AlternateContent>
    </w:r>
    <w:r>
      <w:rPr>
        <w:noProof/>
        <w:lang w:eastAsia="en-GB"/>
      </w:rPr>
      <w:drawing>
        <wp:anchor distT="0" distB="0" distL="114300" distR="114300" simplePos="0" relativeHeight="251657216" behindDoc="1" locked="0" layoutInCell="1" allowOverlap="1" wp14:anchorId="452A04FF" wp14:editId="780E8F43">
          <wp:simplePos x="0" y="0"/>
          <wp:positionH relativeFrom="page">
            <wp:align>left</wp:align>
          </wp:positionH>
          <wp:positionV relativeFrom="paragraph">
            <wp:posOffset>-488950</wp:posOffset>
          </wp:positionV>
          <wp:extent cx="7568565" cy="10720070"/>
          <wp:effectExtent l="0" t="0" r="0" b="5080"/>
          <wp:wrapNone/>
          <wp:docPr id="7"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1"/>
                  <a:srcRect/>
                  <a:stretch>
                    <a:fillRect/>
                  </a:stretch>
                </pic:blipFill>
                <pic:spPr bwMode="auto">
                  <a:xfrm>
                    <a:off x="0" y="0"/>
                    <a:ext cx="7568565" cy="1072007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0834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9256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7040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FCEC4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01660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6A46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4E64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36E9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8092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5ED3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start w:val="1"/>
      <w:numFmt w:val="decimal"/>
      <w:pStyle w:val="ImportWordListStyleDefinition30"/>
      <w:lvlText w:val="%1."/>
      <w:lvlJc w:val="left"/>
      <w:pPr>
        <w:tabs>
          <w:tab w:val="num" w:pos="360"/>
        </w:tabs>
        <w:ind w:left="360" w:firstLine="0"/>
      </w:pPr>
      <w:rPr>
        <w:rFonts w:cs="Times New Roman"/>
        <w:position w:val="0"/>
      </w:rPr>
    </w:lvl>
    <w:lvl w:ilvl="1">
      <w:start w:val="1"/>
      <w:numFmt w:val="lowerLetter"/>
      <w:lvlText w:val="%2."/>
      <w:lvlJc w:val="left"/>
      <w:pPr>
        <w:tabs>
          <w:tab w:val="num" w:pos="360"/>
        </w:tabs>
        <w:ind w:left="360" w:firstLine="720"/>
      </w:pPr>
      <w:rPr>
        <w:rFonts w:cs="Times New Roman"/>
        <w:position w:val="0"/>
      </w:rPr>
    </w:lvl>
    <w:lvl w:ilvl="2">
      <w:start w:val="1"/>
      <w:numFmt w:val="lowerRoman"/>
      <w:lvlText w:val="%3."/>
      <w:lvlJc w:val="left"/>
      <w:pPr>
        <w:tabs>
          <w:tab w:val="num" w:pos="296"/>
        </w:tabs>
        <w:ind w:left="296" w:firstLine="1504"/>
      </w:pPr>
      <w:rPr>
        <w:rFonts w:cs="Times New Roman"/>
        <w:position w:val="0"/>
      </w:rPr>
    </w:lvl>
    <w:lvl w:ilvl="3">
      <w:start w:val="1"/>
      <w:numFmt w:val="decimal"/>
      <w:lvlText w:val="%4."/>
      <w:lvlJc w:val="left"/>
      <w:pPr>
        <w:tabs>
          <w:tab w:val="num" w:pos="360"/>
        </w:tabs>
        <w:ind w:left="360" w:firstLine="2160"/>
      </w:pPr>
      <w:rPr>
        <w:rFonts w:cs="Times New Roman"/>
        <w:position w:val="0"/>
      </w:rPr>
    </w:lvl>
    <w:lvl w:ilvl="4">
      <w:start w:val="1"/>
      <w:numFmt w:val="lowerLetter"/>
      <w:lvlText w:val="%5."/>
      <w:lvlJc w:val="left"/>
      <w:pPr>
        <w:tabs>
          <w:tab w:val="num" w:pos="360"/>
        </w:tabs>
        <w:ind w:left="360" w:firstLine="2880"/>
      </w:pPr>
      <w:rPr>
        <w:rFonts w:cs="Times New Roman"/>
        <w:position w:val="0"/>
      </w:rPr>
    </w:lvl>
    <w:lvl w:ilvl="5">
      <w:start w:val="1"/>
      <w:numFmt w:val="lowerRoman"/>
      <w:lvlText w:val="%6."/>
      <w:lvlJc w:val="left"/>
      <w:pPr>
        <w:tabs>
          <w:tab w:val="num" w:pos="296"/>
        </w:tabs>
        <w:ind w:left="296" w:firstLine="3664"/>
      </w:pPr>
      <w:rPr>
        <w:rFonts w:cs="Times New Roman"/>
        <w:position w:val="0"/>
      </w:rPr>
    </w:lvl>
    <w:lvl w:ilvl="6">
      <w:start w:val="1"/>
      <w:numFmt w:val="decimal"/>
      <w:lvlText w:val="%7."/>
      <w:lvlJc w:val="left"/>
      <w:pPr>
        <w:tabs>
          <w:tab w:val="num" w:pos="360"/>
        </w:tabs>
        <w:ind w:left="360" w:firstLine="4320"/>
      </w:pPr>
      <w:rPr>
        <w:rFonts w:cs="Times New Roman"/>
        <w:position w:val="0"/>
      </w:rPr>
    </w:lvl>
    <w:lvl w:ilvl="7">
      <w:start w:val="1"/>
      <w:numFmt w:val="lowerLetter"/>
      <w:lvlText w:val="%8."/>
      <w:lvlJc w:val="left"/>
      <w:pPr>
        <w:tabs>
          <w:tab w:val="num" w:pos="360"/>
        </w:tabs>
        <w:ind w:left="360" w:firstLine="5040"/>
      </w:pPr>
      <w:rPr>
        <w:rFonts w:cs="Times New Roman"/>
        <w:position w:val="0"/>
      </w:rPr>
    </w:lvl>
    <w:lvl w:ilvl="8">
      <w:start w:val="1"/>
      <w:numFmt w:val="lowerRoman"/>
      <w:lvlText w:val="%9."/>
      <w:lvlJc w:val="left"/>
      <w:pPr>
        <w:tabs>
          <w:tab w:val="num" w:pos="296"/>
        </w:tabs>
        <w:ind w:left="296" w:firstLine="5824"/>
      </w:pPr>
      <w:rPr>
        <w:rFonts w:cs="Times New Roman"/>
        <w:position w:val="0"/>
      </w:rPr>
    </w:lvl>
  </w:abstractNum>
  <w:abstractNum w:abstractNumId="11" w15:restartNumberingAfterBreak="0">
    <w:nsid w:val="00000003"/>
    <w:multiLevelType w:val="multilevel"/>
    <w:tmpl w:val="894EE875"/>
    <w:lvl w:ilvl="0">
      <w:start w:val="1"/>
      <w:numFmt w:val="bullet"/>
      <w:pStyle w:val="ImportWordListStyleDefinition19"/>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2" w15:restartNumberingAfterBreak="0">
    <w:nsid w:val="00000005"/>
    <w:multiLevelType w:val="multilevel"/>
    <w:tmpl w:val="894EE877"/>
    <w:lvl w:ilvl="0">
      <w:start w:val="1"/>
      <w:numFmt w:val="bullet"/>
      <w:pStyle w:val="List0"/>
      <w:lvlText w:val="•"/>
      <w:lvlJc w:val="left"/>
      <w:pPr>
        <w:tabs>
          <w:tab w:val="num" w:pos="360"/>
        </w:tabs>
        <w:ind w:left="360" w:firstLine="774"/>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3" w15:restartNumberingAfterBreak="0">
    <w:nsid w:val="00000006"/>
    <w:multiLevelType w:val="multilevel"/>
    <w:tmpl w:val="894EE878"/>
    <w:lvl w:ilvl="0">
      <w:start w:val="1"/>
      <w:numFmt w:val="bullet"/>
      <w:pStyle w:val="ImportWordListStyleDefinition1"/>
      <w:lvlText w:val="•"/>
      <w:lvlJc w:val="left"/>
      <w:pPr>
        <w:tabs>
          <w:tab w:val="num" w:pos="360"/>
        </w:tabs>
        <w:ind w:left="360" w:firstLine="5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4" w15:restartNumberingAfterBreak="0">
    <w:nsid w:val="00000008"/>
    <w:multiLevelType w:val="multilevel"/>
    <w:tmpl w:val="894EE87A"/>
    <w:lvl w:ilvl="0">
      <w:start w:val="1"/>
      <w:numFmt w:val="bullet"/>
      <w:pStyle w:val="List1"/>
      <w:lvlText w:val="•"/>
      <w:lvlJc w:val="left"/>
      <w:pPr>
        <w:tabs>
          <w:tab w:val="num" w:pos="153"/>
        </w:tabs>
        <w:ind w:left="153" w:firstLine="567"/>
      </w:pPr>
      <w:rPr>
        <w:position w:val="0"/>
      </w:rPr>
    </w:lvl>
    <w:lvl w:ilvl="1">
      <w:start w:val="1"/>
      <w:numFmt w:val="bullet"/>
      <w:lvlText w:val="o"/>
      <w:lvlJc w:val="left"/>
      <w:pPr>
        <w:tabs>
          <w:tab w:val="num" w:pos="360"/>
        </w:tabs>
        <w:ind w:left="360" w:firstLine="1287"/>
      </w:pPr>
      <w:rPr>
        <w:position w:val="0"/>
      </w:rPr>
    </w:lvl>
    <w:lvl w:ilvl="2">
      <w:start w:val="1"/>
      <w:numFmt w:val="bullet"/>
      <w:lvlText w:val="•"/>
      <w:lvlJc w:val="left"/>
      <w:pPr>
        <w:tabs>
          <w:tab w:val="num" w:pos="360"/>
        </w:tabs>
        <w:ind w:left="360" w:firstLine="2007"/>
      </w:pPr>
      <w:rPr>
        <w:position w:val="0"/>
      </w:rPr>
    </w:lvl>
    <w:lvl w:ilvl="3">
      <w:start w:val="1"/>
      <w:numFmt w:val="bullet"/>
      <w:lvlText w:val="•"/>
      <w:lvlJc w:val="left"/>
      <w:pPr>
        <w:tabs>
          <w:tab w:val="num" w:pos="360"/>
        </w:tabs>
        <w:ind w:left="360" w:firstLine="2727"/>
      </w:pPr>
      <w:rPr>
        <w:position w:val="0"/>
      </w:rPr>
    </w:lvl>
    <w:lvl w:ilvl="4">
      <w:start w:val="1"/>
      <w:numFmt w:val="bullet"/>
      <w:lvlText w:val="o"/>
      <w:lvlJc w:val="left"/>
      <w:pPr>
        <w:tabs>
          <w:tab w:val="num" w:pos="360"/>
        </w:tabs>
        <w:ind w:left="360" w:firstLine="3447"/>
      </w:pPr>
      <w:rPr>
        <w:position w:val="0"/>
      </w:rPr>
    </w:lvl>
    <w:lvl w:ilvl="5">
      <w:start w:val="1"/>
      <w:numFmt w:val="bullet"/>
      <w:lvlText w:val="•"/>
      <w:lvlJc w:val="left"/>
      <w:pPr>
        <w:tabs>
          <w:tab w:val="num" w:pos="360"/>
        </w:tabs>
        <w:ind w:left="360" w:firstLine="4167"/>
      </w:pPr>
      <w:rPr>
        <w:position w:val="0"/>
      </w:rPr>
    </w:lvl>
    <w:lvl w:ilvl="6">
      <w:start w:val="1"/>
      <w:numFmt w:val="bullet"/>
      <w:lvlText w:val="•"/>
      <w:lvlJc w:val="left"/>
      <w:pPr>
        <w:tabs>
          <w:tab w:val="num" w:pos="360"/>
        </w:tabs>
        <w:ind w:left="360" w:firstLine="4887"/>
      </w:pPr>
      <w:rPr>
        <w:position w:val="0"/>
      </w:rPr>
    </w:lvl>
    <w:lvl w:ilvl="7">
      <w:start w:val="1"/>
      <w:numFmt w:val="bullet"/>
      <w:lvlText w:val="o"/>
      <w:lvlJc w:val="left"/>
      <w:pPr>
        <w:tabs>
          <w:tab w:val="num" w:pos="360"/>
        </w:tabs>
        <w:ind w:left="360" w:firstLine="5607"/>
      </w:pPr>
      <w:rPr>
        <w:position w:val="0"/>
      </w:rPr>
    </w:lvl>
    <w:lvl w:ilvl="8">
      <w:start w:val="1"/>
      <w:numFmt w:val="bullet"/>
      <w:lvlText w:val="•"/>
      <w:lvlJc w:val="left"/>
      <w:pPr>
        <w:tabs>
          <w:tab w:val="num" w:pos="360"/>
        </w:tabs>
        <w:ind w:left="360" w:firstLine="6327"/>
      </w:pPr>
      <w:rPr>
        <w:position w:val="0"/>
      </w:rPr>
    </w:lvl>
  </w:abstractNum>
  <w:abstractNum w:abstractNumId="15" w15:restartNumberingAfterBreak="0">
    <w:nsid w:val="0000001E"/>
    <w:multiLevelType w:val="multilevel"/>
    <w:tmpl w:val="894EE890"/>
    <w:lvl w:ilvl="0">
      <w:start w:val="1"/>
      <w:numFmt w:val="bullet"/>
      <w:pStyle w:val="ImportWordListStyleDefinition13"/>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6" w15:restartNumberingAfterBreak="0">
    <w:nsid w:val="00000020"/>
    <w:multiLevelType w:val="multilevel"/>
    <w:tmpl w:val="894EE892"/>
    <w:lvl w:ilvl="0">
      <w:start w:val="1"/>
      <w:numFmt w:val="bullet"/>
      <w:pStyle w:val="ImportWordListStyleDefinition2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7" w15:restartNumberingAfterBreak="0">
    <w:nsid w:val="00000022"/>
    <w:multiLevelType w:val="multilevel"/>
    <w:tmpl w:val="894EE894"/>
    <w:lvl w:ilvl="0">
      <w:start w:val="1"/>
      <w:numFmt w:val="bullet"/>
      <w:pStyle w:val="List21"/>
      <w:lvlText w:val="•"/>
      <w:lvlJc w:val="left"/>
      <w:pPr>
        <w:tabs>
          <w:tab w:val="num" w:pos="426"/>
        </w:tabs>
        <w:ind w:left="426" w:firstLine="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8" w15:restartNumberingAfterBreak="0">
    <w:nsid w:val="00000023"/>
    <w:multiLevelType w:val="multilevel"/>
    <w:tmpl w:val="894EE895"/>
    <w:lvl w:ilvl="0">
      <w:start w:val="1"/>
      <w:numFmt w:val="bullet"/>
      <w:pStyle w:val="ImportWordListStyleDefinition17"/>
      <w:lvlText w:val="•"/>
      <w:lvlJc w:val="left"/>
      <w:pPr>
        <w:tabs>
          <w:tab w:val="num" w:pos="360"/>
        </w:tabs>
        <w:ind w:left="360" w:firstLine="3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0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18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5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24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39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6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4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1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9" w15:restartNumberingAfterBreak="0">
    <w:nsid w:val="00000025"/>
    <w:multiLevelType w:val="multilevel"/>
    <w:tmpl w:val="894EE897"/>
    <w:lvl w:ilvl="0">
      <w:start w:val="1"/>
      <w:numFmt w:val="bullet"/>
      <w:pStyle w:val="ImportWordListStyleDefinition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20" w15:restartNumberingAfterBreak="0">
    <w:nsid w:val="03256032"/>
    <w:multiLevelType w:val="hybridMultilevel"/>
    <w:tmpl w:val="43AEC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3D95066"/>
    <w:multiLevelType w:val="hybridMultilevel"/>
    <w:tmpl w:val="A1A49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4D214DD"/>
    <w:multiLevelType w:val="multilevel"/>
    <w:tmpl w:val="4AFADBA8"/>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ED773F2"/>
    <w:multiLevelType w:val="hybridMultilevel"/>
    <w:tmpl w:val="C9A07EF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4" w15:restartNumberingAfterBreak="0">
    <w:nsid w:val="19E06D40"/>
    <w:multiLevelType w:val="hybridMultilevel"/>
    <w:tmpl w:val="1B9EE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B4C5699"/>
    <w:multiLevelType w:val="hybridMultilevel"/>
    <w:tmpl w:val="E9109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4837C78"/>
    <w:multiLevelType w:val="hybridMultilevel"/>
    <w:tmpl w:val="B9B62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87540F3"/>
    <w:multiLevelType w:val="hybridMultilevel"/>
    <w:tmpl w:val="E534A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D401BFA"/>
    <w:multiLevelType w:val="hybridMultilevel"/>
    <w:tmpl w:val="07DE2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FDE1D07"/>
    <w:multiLevelType w:val="hybridMultilevel"/>
    <w:tmpl w:val="0CC8D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1"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3D50CAB"/>
    <w:multiLevelType w:val="hybridMultilevel"/>
    <w:tmpl w:val="05A03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BD4CAA"/>
    <w:multiLevelType w:val="hybridMultilevel"/>
    <w:tmpl w:val="13E6B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FC011E"/>
    <w:multiLevelType w:val="multilevel"/>
    <w:tmpl w:val="28EA1F8A"/>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7EF3287"/>
    <w:multiLevelType w:val="hybridMultilevel"/>
    <w:tmpl w:val="146CC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DF561E"/>
    <w:multiLevelType w:val="hybridMultilevel"/>
    <w:tmpl w:val="EDBA8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B96C29"/>
    <w:multiLevelType w:val="hybridMultilevel"/>
    <w:tmpl w:val="80F6C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1BF0DF1"/>
    <w:multiLevelType w:val="hybridMultilevel"/>
    <w:tmpl w:val="2F6C9F8E"/>
    <w:lvl w:ilvl="0" w:tplc="AAAAB38A">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E212E9"/>
    <w:multiLevelType w:val="hybridMultilevel"/>
    <w:tmpl w:val="310A9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F644A2"/>
    <w:multiLevelType w:val="hybridMultilevel"/>
    <w:tmpl w:val="1C065E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5C291B"/>
    <w:multiLevelType w:val="hybridMultilevel"/>
    <w:tmpl w:val="4B5800A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4" w15:restartNumberingAfterBreak="0">
    <w:nsid w:val="7C3A14FF"/>
    <w:multiLevelType w:val="hybridMultilevel"/>
    <w:tmpl w:val="1D827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6345A2"/>
    <w:multiLevelType w:val="multilevel"/>
    <w:tmpl w:val="509CDD0C"/>
    <w:lvl w:ilvl="0">
      <w:start w:val="3"/>
      <w:numFmt w:val="decimal"/>
      <w:lvlText w:val="%1"/>
      <w:lvlJc w:val="left"/>
      <w:pPr>
        <w:ind w:left="525" w:hanging="525"/>
      </w:pPr>
      <w:rPr>
        <w:rFonts w:cs="Helvetica-Light" w:hint="default"/>
        <w:b/>
      </w:rPr>
    </w:lvl>
    <w:lvl w:ilvl="1">
      <w:start w:val="4"/>
      <w:numFmt w:val="decimal"/>
      <w:lvlText w:val="%1.%2"/>
      <w:lvlJc w:val="left"/>
      <w:pPr>
        <w:ind w:left="525" w:hanging="525"/>
      </w:pPr>
      <w:rPr>
        <w:rFonts w:cs="Helvetica-Light" w:hint="default"/>
        <w:b/>
      </w:rPr>
    </w:lvl>
    <w:lvl w:ilvl="2">
      <w:start w:val="7"/>
      <w:numFmt w:val="decimal"/>
      <w:lvlText w:val="%1.%2.%3"/>
      <w:lvlJc w:val="left"/>
      <w:pPr>
        <w:ind w:left="720" w:hanging="720"/>
      </w:pPr>
      <w:rPr>
        <w:rFonts w:cs="Helvetica-Light" w:hint="default"/>
        <w:b/>
      </w:rPr>
    </w:lvl>
    <w:lvl w:ilvl="3">
      <w:start w:val="1"/>
      <w:numFmt w:val="decimal"/>
      <w:lvlText w:val="%1.%2.%3.%4"/>
      <w:lvlJc w:val="left"/>
      <w:pPr>
        <w:ind w:left="1080" w:hanging="1080"/>
      </w:pPr>
      <w:rPr>
        <w:rFonts w:cs="Helvetica-Light" w:hint="default"/>
        <w:b/>
      </w:rPr>
    </w:lvl>
    <w:lvl w:ilvl="4">
      <w:start w:val="1"/>
      <w:numFmt w:val="decimal"/>
      <w:lvlText w:val="%1.%2.%3.%4.%5"/>
      <w:lvlJc w:val="left"/>
      <w:pPr>
        <w:ind w:left="1080" w:hanging="1080"/>
      </w:pPr>
      <w:rPr>
        <w:rFonts w:cs="Helvetica-Light" w:hint="default"/>
        <w:b/>
      </w:rPr>
    </w:lvl>
    <w:lvl w:ilvl="5">
      <w:start w:val="1"/>
      <w:numFmt w:val="decimal"/>
      <w:lvlText w:val="%1.%2.%3.%4.%5.%6"/>
      <w:lvlJc w:val="left"/>
      <w:pPr>
        <w:ind w:left="1440" w:hanging="1440"/>
      </w:pPr>
      <w:rPr>
        <w:rFonts w:cs="Helvetica-Light" w:hint="default"/>
        <w:b/>
      </w:rPr>
    </w:lvl>
    <w:lvl w:ilvl="6">
      <w:start w:val="1"/>
      <w:numFmt w:val="decimal"/>
      <w:lvlText w:val="%1.%2.%3.%4.%5.%6.%7"/>
      <w:lvlJc w:val="left"/>
      <w:pPr>
        <w:ind w:left="1440" w:hanging="1440"/>
      </w:pPr>
      <w:rPr>
        <w:rFonts w:cs="Helvetica-Light" w:hint="default"/>
        <w:b/>
      </w:rPr>
    </w:lvl>
    <w:lvl w:ilvl="7">
      <w:start w:val="1"/>
      <w:numFmt w:val="decimal"/>
      <w:lvlText w:val="%1.%2.%3.%4.%5.%6.%7.%8"/>
      <w:lvlJc w:val="left"/>
      <w:pPr>
        <w:ind w:left="1800" w:hanging="1800"/>
      </w:pPr>
      <w:rPr>
        <w:rFonts w:cs="Helvetica-Light" w:hint="default"/>
        <w:b/>
      </w:rPr>
    </w:lvl>
    <w:lvl w:ilvl="8">
      <w:start w:val="1"/>
      <w:numFmt w:val="decimal"/>
      <w:lvlText w:val="%1.%2.%3.%4.%5.%6.%7.%8.%9"/>
      <w:lvlJc w:val="left"/>
      <w:pPr>
        <w:ind w:left="1800" w:hanging="1800"/>
      </w:pPr>
      <w:rPr>
        <w:rFonts w:cs="Helvetica-Light" w:hint="default"/>
        <w:b/>
      </w:rPr>
    </w:lvl>
  </w:abstractNum>
  <w:num w:numId="1">
    <w:abstractNumId w:val="30"/>
  </w:num>
  <w:num w:numId="2">
    <w:abstractNumId w:val="31"/>
  </w:num>
  <w:num w:numId="3">
    <w:abstractNumId w:val="39"/>
  </w:num>
  <w:num w:numId="4">
    <w:abstractNumId w:val="38"/>
  </w:num>
  <w:num w:numId="5">
    <w:abstractNumId w:val="10"/>
  </w:num>
  <w:num w:numId="6">
    <w:abstractNumId w:val="11"/>
  </w:num>
  <w:num w:numId="7">
    <w:abstractNumId w:val="13"/>
  </w:num>
  <w:num w:numId="8">
    <w:abstractNumId w:val="14"/>
  </w:num>
  <w:num w:numId="9">
    <w:abstractNumId w:val="15"/>
  </w:num>
  <w:num w:numId="10">
    <w:abstractNumId w:val="16"/>
  </w:num>
  <w:num w:numId="11">
    <w:abstractNumId w:val="18"/>
  </w:num>
  <w:num w:numId="12">
    <w:abstractNumId w:val="19"/>
  </w:num>
  <w:num w:numId="13">
    <w:abstractNumId w:val="17"/>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5"/>
  </w:num>
  <w:num w:numId="26">
    <w:abstractNumId w:val="29"/>
  </w:num>
  <w:num w:numId="27">
    <w:abstractNumId w:val="28"/>
  </w:num>
  <w:num w:numId="28">
    <w:abstractNumId w:val="32"/>
  </w:num>
  <w:num w:numId="29">
    <w:abstractNumId w:val="24"/>
  </w:num>
  <w:num w:numId="30">
    <w:abstractNumId w:val="44"/>
  </w:num>
  <w:num w:numId="31">
    <w:abstractNumId w:val="37"/>
  </w:num>
  <w:num w:numId="32">
    <w:abstractNumId w:val="42"/>
  </w:num>
  <w:num w:numId="33">
    <w:abstractNumId w:val="23"/>
  </w:num>
  <w:num w:numId="34">
    <w:abstractNumId w:val="34"/>
  </w:num>
  <w:num w:numId="35">
    <w:abstractNumId w:val="45"/>
  </w:num>
  <w:num w:numId="36">
    <w:abstractNumId w:val="21"/>
  </w:num>
  <w:num w:numId="37">
    <w:abstractNumId w:val="22"/>
  </w:num>
  <w:num w:numId="38">
    <w:abstractNumId w:val="26"/>
  </w:num>
  <w:num w:numId="39">
    <w:abstractNumId w:val="33"/>
  </w:num>
  <w:num w:numId="40">
    <w:abstractNumId w:val="41"/>
  </w:num>
  <w:num w:numId="41">
    <w:abstractNumId w:val="27"/>
  </w:num>
  <w:num w:numId="42">
    <w:abstractNumId w:val="43"/>
  </w:num>
  <w:num w:numId="43">
    <w:abstractNumId w:val="20"/>
  </w:num>
  <w:num w:numId="44">
    <w:abstractNumId w:val="40"/>
  </w:num>
  <w:num w:numId="45">
    <w:abstractNumId w:val="25"/>
  </w:num>
  <w:num w:numId="46">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110593">
      <o:colormru v:ext="edit" colors="#d31145,#fffddf,#ffec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764"/>
    <w:rsid w:val="0000008E"/>
    <w:rsid w:val="00000CB1"/>
    <w:rsid w:val="00002AA5"/>
    <w:rsid w:val="00002B14"/>
    <w:rsid w:val="00002E64"/>
    <w:rsid w:val="0000388E"/>
    <w:rsid w:val="00005501"/>
    <w:rsid w:val="000079DD"/>
    <w:rsid w:val="0001180A"/>
    <w:rsid w:val="0001341B"/>
    <w:rsid w:val="00014430"/>
    <w:rsid w:val="00015609"/>
    <w:rsid w:val="00015CB6"/>
    <w:rsid w:val="00016D57"/>
    <w:rsid w:val="0002009B"/>
    <w:rsid w:val="000205B8"/>
    <w:rsid w:val="0002209D"/>
    <w:rsid w:val="000221C5"/>
    <w:rsid w:val="00025819"/>
    <w:rsid w:val="00026A5C"/>
    <w:rsid w:val="0003095D"/>
    <w:rsid w:val="00034FB8"/>
    <w:rsid w:val="0004116F"/>
    <w:rsid w:val="000413D0"/>
    <w:rsid w:val="00041DCC"/>
    <w:rsid w:val="0004362D"/>
    <w:rsid w:val="00044FF2"/>
    <w:rsid w:val="0004609F"/>
    <w:rsid w:val="000461FE"/>
    <w:rsid w:val="0005130F"/>
    <w:rsid w:val="000518A7"/>
    <w:rsid w:val="0005228C"/>
    <w:rsid w:val="00052601"/>
    <w:rsid w:val="00054520"/>
    <w:rsid w:val="00054C03"/>
    <w:rsid w:val="00056B0C"/>
    <w:rsid w:val="00056F31"/>
    <w:rsid w:val="000575B3"/>
    <w:rsid w:val="00057B51"/>
    <w:rsid w:val="00057B75"/>
    <w:rsid w:val="0006036E"/>
    <w:rsid w:val="00062D5D"/>
    <w:rsid w:val="00067B6F"/>
    <w:rsid w:val="000701AB"/>
    <w:rsid w:val="000724BC"/>
    <w:rsid w:val="0007606B"/>
    <w:rsid w:val="00081E12"/>
    <w:rsid w:val="00083512"/>
    <w:rsid w:val="0008360D"/>
    <w:rsid w:val="00083765"/>
    <w:rsid w:val="00085091"/>
    <w:rsid w:val="000850D9"/>
    <w:rsid w:val="000876B5"/>
    <w:rsid w:val="00092756"/>
    <w:rsid w:val="0009438D"/>
    <w:rsid w:val="000A0339"/>
    <w:rsid w:val="000A1E1B"/>
    <w:rsid w:val="000A24B3"/>
    <w:rsid w:val="000A35BD"/>
    <w:rsid w:val="000A3809"/>
    <w:rsid w:val="000A3BD2"/>
    <w:rsid w:val="000A75DB"/>
    <w:rsid w:val="000A778B"/>
    <w:rsid w:val="000B11F8"/>
    <w:rsid w:val="000B1522"/>
    <w:rsid w:val="000B291B"/>
    <w:rsid w:val="000B29E0"/>
    <w:rsid w:val="000B6F0F"/>
    <w:rsid w:val="000C0BFE"/>
    <w:rsid w:val="000C12AD"/>
    <w:rsid w:val="000C35EE"/>
    <w:rsid w:val="000C58C2"/>
    <w:rsid w:val="000D1087"/>
    <w:rsid w:val="000D15C8"/>
    <w:rsid w:val="000D1F39"/>
    <w:rsid w:val="000D2A0E"/>
    <w:rsid w:val="000D3601"/>
    <w:rsid w:val="000D4BF2"/>
    <w:rsid w:val="000D5F47"/>
    <w:rsid w:val="000E00B0"/>
    <w:rsid w:val="000E02B4"/>
    <w:rsid w:val="000E3F90"/>
    <w:rsid w:val="000E4831"/>
    <w:rsid w:val="000E4AF5"/>
    <w:rsid w:val="000E4D43"/>
    <w:rsid w:val="000E4E27"/>
    <w:rsid w:val="000E5685"/>
    <w:rsid w:val="000E63DE"/>
    <w:rsid w:val="000F064A"/>
    <w:rsid w:val="000F2763"/>
    <w:rsid w:val="000F2931"/>
    <w:rsid w:val="000F50B2"/>
    <w:rsid w:val="000F5D50"/>
    <w:rsid w:val="000F5DE4"/>
    <w:rsid w:val="000F748D"/>
    <w:rsid w:val="001001D6"/>
    <w:rsid w:val="00100F6E"/>
    <w:rsid w:val="0010126B"/>
    <w:rsid w:val="00101492"/>
    <w:rsid w:val="00102F17"/>
    <w:rsid w:val="001055F6"/>
    <w:rsid w:val="00107B15"/>
    <w:rsid w:val="0011007F"/>
    <w:rsid w:val="00110C02"/>
    <w:rsid w:val="00112B05"/>
    <w:rsid w:val="00122484"/>
    <w:rsid w:val="001230E2"/>
    <w:rsid w:val="00124613"/>
    <w:rsid w:val="001248E1"/>
    <w:rsid w:val="00124FDC"/>
    <w:rsid w:val="00127F22"/>
    <w:rsid w:val="0013075A"/>
    <w:rsid w:val="001314AB"/>
    <w:rsid w:val="001318F2"/>
    <w:rsid w:val="00131CBE"/>
    <w:rsid w:val="00132061"/>
    <w:rsid w:val="00132605"/>
    <w:rsid w:val="0013674C"/>
    <w:rsid w:val="00136FEB"/>
    <w:rsid w:val="001378B7"/>
    <w:rsid w:val="0014205B"/>
    <w:rsid w:val="00142E26"/>
    <w:rsid w:val="00145C7C"/>
    <w:rsid w:val="00147C02"/>
    <w:rsid w:val="00147CFE"/>
    <w:rsid w:val="0015005B"/>
    <w:rsid w:val="0015063B"/>
    <w:rsid w:val="00151479"/>
    <w:rsid w:val="00151735"/>
    <w:rsid w:val="00153220"/>
    <w:rsid w:val="00153BDE"/>
    <w:rsid w:val="00154536"/>
    <w:rsid w:val="00154C8F"/>
    <w:rsid w:val="00154FFB"/>
    <w:rsid w:val="001562D2"/>
    <w:rsid w:val="001565FF"/>
    <w:rsid w:val="00157938"/>
    <w:rsid w:val="00157A57"/>
    <w:rsid w:val="0016157E"/>
    <w:rsid w:val="00161FFE"/>
    <w:rsid w:val="00163C38"/>
    <w:rsid w:val="00165163"/>
    <w:rsid w:val="00167F8A"/>
    <w:rsid w:val="00174280"/>
    <w:rsid w:val="00174677"/>
    <w:rsid w:val="00175707"/>
    <w:rsid w:val="00175E8C"/>
    <w:rsid w:val="001760F2"/>
    <w:rsid w:val="0017632B"/>
    <w:rsid w:val="00176BD4"/>
    <w:rsid w:val="00176F2E"/>
    <w:rsid w:val="00184B7F"/>
    <w:rsid w:val="00185694"/>
    <w:rsid w:val="00185C2F"/>
    <w:rsid w:val="001873E0"/>
    <w:rsid w:val="00187F6A"/>
    <w:rsid w:val="00191E89"/>
    <w:rsid w:val="001936BF"/>
    <w:rsid w:val="00195E46"/>
    <w:rsid w:val="0019646F"/>
    <w:rsid w:val="001979BA"/>
    <w:rsid w:val="001A06C7"/>
    <w:rsid w:val="001A134C"/>
    <w:rsid w:val="001A5E75"/>
    <w:rsid w:val="001A5FB0"/>
    <w:rsid w:val="001B540F"/>
    <w:rsid w:val="001B6D90"/>
    <w:rsid w:val="001C1BD1"/>
    <w:rsid w:val="001C1C6F"/>
    <w:rsid w:val="001C1DAB"/>
    <w:rsid w:val="001C2CA5"/>
    <w:rsid w:val="001C2F31"/>
    <w:rsid w:val="001D10C5"/>
    <w:rsid w:val="001D1642"/>
    <w:rsid w:val="001D1E0A"/>
    <w:rsid w:val="001D24BD"/>
    <w:rsid w:val="001D39F6"/>
    <w:rsid w:val="001D64F8"/>
    <w:rsid w:val="001D6C4E"/>
    <w:rsid w:val="001E1E93"/>
    <w:rsid w:val="001E22B3"/>
    <w:rsid w:val="001E3125"/>
    <w:rsid w:val="001E4105"/>
    <w:rsid w:val="001E417F"/>
    <w:rsid w:val="001E433B"/>
    <w:rsid w:val="001E6005"/>
    <w:rsid w:val="001E6B42"/>
    <w:rsid w:val="001E715E"/>
    <w:rsid w:val="001E7EF0"/>
    <w:rsid w:val="001F0AA6"/>
    <w:rsid w:val="001F1871"/>
    <w:rsid w:val="001F1E7C"/>
    <w:rsid w:val="001F5DC7"/>
    <w:rsid w:val="001F71A5"/>
    <w:rsid w:val="001F7507"/>
    <w:rsid w:val="00203D9E"/>
    <w:rsid w:val="00206581"/>
    <w:rsid w:val="0020729E"/>
    <w:rsid w:val="002102A0"/>
    <w:rsid w:val="0021089D"/>
    <w:rsid w:val="00210D52"/>
    <w:rsid w:val="0021134A"/>
    <w:rsid w:val="00212865"/>
    <w:rsid w:val="00212FB5"/>
    <w:rsid w:val="00213429"/>
    <w:rsid w:val="00213491"/>
    <w:rsid w:val="0021392C"/>
    <w:rsid w:val="00214801"/>
    <w:rsid w:val="0021606B"/>
    <w:rsid w:val="00216CAB"/>
    <w:rsid w:val="00220C19"/>
    <w:rsid w:val="00222D1E"/>
    <w:rsid w:val="0022383E"/>
    <w:rsid w:val="002267A3"/>
    <w:rsid w:val="00227E9E"/>
    <w:rsid w:val="00232758"/>
    <w:rsid w:val="0023427F"/>
    <w:rsid w:val="002345FB"/>
    <w:rsid w:val="00235CC0"/>
    <w:rsid w:val="00240B58"/>
    <w:rsid w:val="00243577"/>
    <w:rsid w:val="00244A70"/>
    <w:rsid w:val="00246062"/>
    <w:rsid w:val="002465F1"/>
    <w:rsid w:val="00247D4E"/>
    <w:rsid w:val="002511B3"/>
    <w:rsid w:val="00251ED8"/>
    <w:rsid w:val="00254A94"/>
    <w:rsid w:val="00254DCC"/>
    <w:rsid w:val="00257164"/>
    <w:rsid w:val="002578B8"/>
    <w:rsid w:val="00263DFF"/>
    <w:rsid w:val="002642EB"/>
    <w:rsid w:val="00265CB1"/>
    <w:rsid w:val="0026678D"/>
    <w:rsid w:val="00267A41"/>
    <w:rsid w:val="00267E3B"/>
    <w:rsid w:val="00267F8F"/>
    <w:rsid w:val="00270507"/>
    <w:rsid w:val="00271AC8"/>
    <w:rsid w:val="00272B2A"/>
    <w:rsid w:val="00272E27"/>
    <w:rsid w:val="00273BD2"/>
    <w:rsid w:val="0027473B"/>
    <w:rsid w:val="00274857"/>
    <w:rsid w:val="00275B89"/>
    <w:rsid w:val="002770E2"/>
    <w:rsid w:val="00280C6B"/>
    <w:rsid w:val="00281DD8"/>
    <w:rsid w:val="002822BA"/>
    <w:rsid w:val="00283016"/>
    <w:rsid w:val="00283C71"/>
    <w:rsid w:val="002869C1"/>
    <w:rsid w:val="0028759D"/>
    <w:rsid w:val="00290320"/>
    <w:rsid w:val="00290CD7"/>
    <w:rsid w:val="00290F56"/>
    <w:rsid w:val="002918E8"/>
    <w:rsid w:val="0029234A"/>
    <w:rsid w:val="00293259"/>
    <w:rsid w:val="00294EA3"/>
    <w:rsid w:val="002A0203"/>
    <w:rsid w:val="002A13B4"/>
    <w:rsid w:val="002A145A"/>
    <w:rsid w:val="002A18D1"/>
    <w:rsid w:val="002A1E91"/>
    <w:rsid w:val="002A2C0D"/>
    <w:rsid w:val="002A2CAA"/>
    <w:rsid w:val="002A3292"/>
    <w:rsid w:val="002A351D"/>
    <w:rsid w:val="002A3AEE"/>
    <w:rsid w:val="002A551C"/>
    <w:rsid w:val="002A6DE2"/>
    <w:rsid w:val="002B243A"/>
    <w:rsid w:val="002B35AA"/>
    <w:rsid w:val="002B5DF1"/>
    <w:rsid w:val="002B6FC4"/>
    <w:rsid w:val="002C1759"/>
    <w:rsid w:val="002C1FAA"/>
    <w:rsid w:val="002C212D"/>
    <w:rsid w:val="002C4196"/>
    <w:rsid w:val="002C67F4"/>
    <w:rsid w:val="002D3FA0"/>
    <w:rsid w:val="002D5781"/>
    <w:rsid w:val="002D637D"/>
    <w:rsid w:val="002D71FE"/>
    <w:rsid w:val="002D7921"/>
    <w:rsid w:val="002E0889"/>
    <w:rsid w:val="002E0CED"/>
    <w:rsid w:val="002E1DF6"/>
    <w:rsid w:val="002E4E08"/>
    <w:rsid w:val="002E5340"/>
    <w:rsid w:val="002E5C88"/>
    <w:rsid w:val="002F0ABC"/>
    <w:rsid w:val="002F14A3"/>
    <w:rsid w:val="002F2833"/>
    <w:rsid w:val="002F3210"/>
    <w:rsid w:val="002F4AF1"/>
    <w:rsid w:val="002F60DB"/>
    <w:rsid w:val="0030061C"/>
    <w:rsid w:val="003006E7"/>
    <w:rsid w:val="00303C81"/>
    <w:rsid w:val="003059E8"/>
    <w:rsid w:val="00310970"/>
    <w:rsid w:val="0031155F"/>
    <w:rsid w:val="00313657"/>
    <w:rsid w:val="00313BCD"/>
    <w:rsid w:val="003158CA"/>
    <w:rsid w:val="003172B5"/>
    <w:rsid w:val="00317948"/>
    <w:rsid w:val="00321030"/>
    <w:rsid w:val="003218D4"/>
    <w:rsid w:val="003219F2"/>
    <w:rsid w:val="0032276D"/>
    <w:rsid w:val="0032298A"/>
    <w:rsid w:val="00322F1E"/>
    <w:rsid w:val="0032368D"/>
    <w:rsid w:val="00323AB4"/>
    <w:rsid w:val="00323B3B"/>
    <w:rsid w:val="00325446"/>
    <w:rsid w:val="00325CF6"/>
    <w:rsid w:val="00326867"/>
    <w:rsid w:val="00327570"/>
    <w:rsid w:val="003321F2"/>
    <w:rsid w:val="00334021"/>
    <w:rsid w:val="003348C9"/>
    <w:rsid w:val="003350AF"/>
    <w:rsid w:val="00337D20"/>
    <w:rsid w:val="00337DBA"/>
    <w:rsid w:val="003401F3"/>
    <w:rsid w:val="00340774"/>
    <w:rsid w:val="003416CE"/>
    <w:rsid w:val="003418BD"/>
    <w:rsid w:val="0034351A"/>
    <w:rsid w:val="00343E60"/>
    <w:rsid w:val="00344E13"/>
    <w:rsid w:val="00346334"/>
    <w:rsid w:val="00347284"/>
    <w:rsid w:val="00350F56"/>
    <w:rsid w:val="00352C6F"/>
    <w:rsid w:val="00356E64"/>
    <w:rsid w:val="00357682"/>
    <w:rsid w:val="00360406"/>
    <w:rsid w:val="00360D7A"/>
    <w:rsid w:val="00361F6B"/>
    <w:rsid w:val="003626CB"/>
    <w:rsid w:val="00363A3A"/>
    <w:rsid w:val="00364241"/>
    <w:rsid w:val="00365825"/>
    <w:rsid w:val="0036614F"/>
    <w:rsid w:val="0036630C"/>
    <w:rsid w:val="00366317"/>
    <w:rsid w:val="00367210"/>
    <w:rsid w:val="0037393E"/>
    <w:rsid w:val="003805C7"/>
    <w:rsid w:val="00380763"/>
    <w:rsid w:val="003818DF"/>
    <w:rsid w:val="0038233F"/>
    <w:rsid w:val="0038460B"/>
    <w:rsid w:val="003854E7"/>
    <w:rsid w:val="00385EF7"/>
    <w:rsid w:val="00386B6C"/>
    <w:rsid w:val="00386F33"/>
    <w:rsid w:val="003875B6"/>
    <w:rsid w:val="0039115D"/>
    <w:rsid w:val="003924B7"/>
    <w:rsid w:val="003930A3"/>
    <w:rsid w:val="003945E0"/>
    <w:rsid w:val="00394975"/>
    <w:rsid w:val="00394BBA"/>
    <w:rsid w:val="00394E02"/>
    <w:rsid w:val="00395690"/>
    <w:rsid w:val="003966B9"/>
    <w:rsid w:val="003968E2"/>
    <w:rsid w:val="0039786E"/>
    <w:rsid w:val="003A21E1"/>
    <w:rsid w:val="003A2305"/>
    <w:rsid w:val="003A26F1"/>
    <w:rsid w:val="003A29A8"/>
    <w:rsid w:val="003A2BBE"/>
    <w:rsid w:val="003A3BDE"/>
    <w:rsid w:val="003A55F8"/>
    <w:rsid w:val="003A60C0"/>
    <w:rsid w:val="003A7DCB"/>
    <w:rsid w:val="003B0C73"/>
    <w:rsid w:val="003B2BB3"/>
    <w:rsid w:val="003B3034"/>
    <w:rsid w:val="003B38A7"/>
    <w:rsid w:val="003B3E77"/>
    <w:rsid w:val="003B431B"/>
    <w:rsid w:val="003B46B6"/>
    <w:rsid w:val="003B5532"/>
    <w:rsid w:val="003B6681"/>
    <w:rsid w:val="003B77BD"/>
    <w:rsid w:val="003B7DED"/>
    <w:rsid w:val="003C2044"/>
    <w:rsid w:val="003C31BC"/>
    <w:rsid w:val="003C5D0D"/>
    <w:rsid w:val="003C60CE"/>
    <w:rsid w:val="003C6329"/>
    <w:rsid w:val="003C795B"/>
    <w:rsid w:val="003C7ACE"/>
    <w:rsid w:val="003D09BB"/>
    <w:rsid w:val="003D1166"/>
    <w:rsid w:val="003D2899"/>
    <w:rsid w:val="003D3D75"/>
    <w:rsid w:val="003D717E"/>
    <w:rsid w:val="003E1A28"/>
    <w:rsid w:val="003E1CEE"/>
    <w:rsid w:val="003E3D87"/>
    <w:rsid w:val="003E4C50"/>
    <w:rsid w:val="003E4EB1"/>
    <w:rsid w:val="003E5F01"/>
    <w:rsid w:val="003E743D"/>
    <w:rsid w:val="003E7BAD"/>
    <w:rsid w:val="003F0132"/>
    <w:rsid w:val="003F0E62"/>
    <w:rsid w:val="003F1950"/>
    <w:rsid w:val="003F55B6"/>
    <w:rsid w:val="003F63BB"/>
    <w:rsid w:val="00401CB5"/>
    <w:rsid w:val="00403A9B"/>
    <w:rsid w:val="00405273"/>
    <w:rsid w:val="00405959"/>
    <w:rsid w:val="00413644"/>
    <w:rsid w:val="00414617"/>
    <w:rsid w:val="00414D1D"/>
    <w:rsid w:val="0042094E"/>
    <w:rsid w:val="00421237"/>
    <w:rsid w:val="00421596"/>
    <w:rsid w:val="0042302E"/>
    <w:rsid w:val="0042361A"/>
    <w:rsid w:val="00424E57"/>
    <w:rsid w:val="0042503D"/>
    <w:rsid w:val="00425047"/>
    <w:rsid w:val="00426C80"/>
    <w:rsid w:val="004273EE"/>
    <w:rsid w:val="00430E63"/>
    <w:rsid w:val="00431609"/>
    <w:rsid w:val="00431B9C"/>
    <w:rsid w:val="00434943"/>
    <w:rsid w:val="00436240"/>
    <w:rsid w:val="00436CA0"/>
    <w:rsid w:val="00442270"/>
    <w:rsid w:val="004429E1"/>
    <w:rsid w:val="00443084"/>
    <w:rsid w:val="004430FC"/>
    <w:rsid w:val="004456CC"/>
    <w:rsid w:val="004466CF"/>
    <w:rsid w:val="00447F80"/>
    <w:rsid w:val="00451CE6"/>
    <w:rsid w:val="004533FD"/>
    <w:rsid w:val="00454BF8"/>
    <w:rsid w:val="004553DE"/>
    <w:rsid w:val="00460B9A"/>
    <w:rsid w:val="00464125"/>
    <w:rsid w:val="0046607F"/>
    <w:rsid w:val="004671DA"/>
    <w:rsid w:val="004672AC"/>
    <w:rsid w:val="004674CE"/>
    <w:rsid w:val="00467ED1"/>
    <w:rsid w:val="0047008B"/>
    <w:rsid w:val="00472A0F"/>
    <w:rsid w:val="00472C83"/>
    <w:rsid w:val="00474349"/>
    <w:rsid w:val="00476A96"/>
    <w:rsid w:val="004818F3"/>
    <w:rsid w:val="00481F93"/>
    <w:rsid w:val="00482C1F"/>
    <w:rsid w:val="00484F10"/>
    <w:rsid w:val="004861EE"/>
    <w:rsid w:val="00487350"/>
    <w:rsid w:val="00490027"/>
    <w:rsid w:val="004900B5"/>
    <w:rsid w:val="00490175"/>
    <w:rsid w:val="00490507"/>
    <w:rsid w:val="0049320F"/>
    <w:rsid w:val="00497D95"/>
    <w:rsid w:val="004A07B6"/>
    <w:rsid w:val="004A4F18"/>
    <w:rsid w:val="004A5DED"/>
    <w:rsid w:val="004A6CE9"/>
    <w:rsid w:val="004B1B94"/>
    <w:rsid w:val="004B2868"/>
    <w:rsid w:val="004B40AD"/>
    <w:rsid w:val="004B573E"/>
    <w:rsid w:val="004B58F1"/>
    <w:rsid w:val="004B6158"/>
    <w:rsid w:val="004C0654"/>
    <w:rsid w:val="004C22BB"/>
    <w:rsid w:val="004C2626"/>
    <w:rsid w:val="004C2866"/>
    <w:rsid w:val="004C6D02"/>
    <w:rsid w:val="004D07A3"/>
    <w:rsid w:val="004D0A1D"/>
    <w:rsid w:val="004D0DE4"/>
    <w:rsid w:val="004D0F2F"/>
    <w:rsid w:val="004D26CD"/>
    <w:rsid w:val="004D7BBF"/>
    <w:rsid w:val="004D7DC8"/>
    <w:rsid w:val="004E3926"/>
    <w:rsid w:val="004E3D89"/>
    <w:rsid w:val="004E47BB"/>
    <w:rsid w:val="004E5E8E"/>
    <w:rsid w:val="004F243C"/>
    <w:rsid w:val="004F4F4A"/>
    <w:rsid w:val="004F57D9"/>
    <w:rsid w:val="004F589C"/>
    <w:rsid w:val="004F5BD3"/>
    <w:rsid w:val="004F65F5"/>
    <w:rsid w:val="004F668D"/>
    <w:rsid w:val="004F7221"/>
    <w:rsid w:val="004F7721"/>
    <w:rsid w:val="004F793C"/>
    <w:rsid w:val="004F7D14"/>
    <w:rsid w:val="005001EC"/>
    <w:rsid w:val="00503D58"/>
    <w:rsid w:val="005059F8"/>
    <w:rsid w:val="00510193"/>
    <w:rsid w:val="00510683"/>
    <w:rsid w:val="005107F5"/>
    <w:rsid w:val="00510A25"/>
    <w:rsid w:val="00511019"/>
    <w:rsid w:val="00511F5D"/>
    <w:rsid w:val="00512BDF"/>
    <w:rsid w:val="005139AF"/>
    <w:rsid w:val="00514D57"/>
    <w:rsid w:val="00516099"/>
    <w:rsid w:val="005165D2"/>
    <w:rsid w:val="0051670A"/>
    <w:rsid w:val="00516FCA"/>
    <w:rsid w:val="005178ED"/>
    <w:rsid w:val="00520EBD"/>
    <w:rsid w:val="005213B9"/>
    <w:rsid w:val="005218CA"/>
    <w:rsid w:val="0052192F"/>
    <w:rsid w:val="005222C7"/>
    <w:rsid w:val="00522CA2"/>
    <w:rsid w:val="00524679"/>
    <w:rsid w:val="005309A4"/>
    <w:rsid w:val="0053186D"/>
    <w:rsid w:val="00531D34"/>
    <w:rsid w:val="00531F2A"/>
    <w:rsid w:val="00532A81"/>
    <w:rsid w:val="005331E8"/>
    <w:rsid w:val="00533982"/>
    <w:rsid w:val="00534553"/>
    <w:rsid w:val="00534CA1"/>
    <w:rsid w:val="005360E5"/>
    <w:rsid w:val="0054261B"/>
    <w:rsid w:val="0054272A"/>
    <w:rsid w:val="00542944"/>
    <w:rsid w:val="00544EB8"/>
    <w:rsid w:val="0054686B"/>
    <w:rsid w:val="00546899"/>
    <w:rsid w:val="00546D5B"/>
    <w:rsid w:val="00552EEF"/>
    <w:rsid w:val="00552F96"/>
    <w:rsid w:val="005539F8"/>
    <w:rsid w:val="00553EFD"/>
    <w:rsid w:val="00554019"/>
    <w:rsid w:val="005602EE"/>
    <w:rsid w:val="00560EAE"/>
    <w:rsid w:val="00561177"/>
    <w:rsid w:val="005611CC"/>
    <w:rsid w:val="005611EC"/>
    <w:rsid w:val="00562427"/>
    <w:rsid w:val="00562CC3"/>
    <w:rsid w:val="00562E65"/>
    <w:rsid w:val="0056366E"/>
    <w:rsid w:val="00565265"/>
    <w:rsid w:val="00565DF7"/>
    <w:rsid w:val="00566FB4"/>
    <w:rsid w:val="00567033"/>
    <w:rsid w:val="005672F2"/>
    <w:rsid w:val="005674C8"/>
    <w:rsid w:val="00567C0D"/>
    <w:rsid w:val="005703D9"/>
    <w:rsid w:val="005734D4"/>
    <w:rsid w:val="00574419"/>
    <w:rsid w:val="00576948"/>
    <w:rsid w:val="00576D8E"/>
    <w:rsid w:val="005802F2"/>
    <w:rsid w:val="00580887"/>
    <w:rsid w:val="00581639"/>
    <w:rsid w:val="0058295E"/>
    <w:rsid w:val="00583074"/>
    <w:rsid w:val="005837F4"/>
    <w:rsid w:val="00584DBC"/>
    <w:rsid w:val="00584F22"/>
    <w:rsid w:val="00585691"/>
    <w:rsid w:val="00586AA9"/>
    <w:rsid w:val="005908FD"/>
    <w:rsid w:val="00591E41"/>
    <w:rsid w:val="00591F1A"/>
    <w:rsid w:val="00594064"/>
    <w:rsid w:val="00594228"/>
    <w:rsid w:val="005946C9"/>
    <w:rsid w:val="00594F97"/>
    <w:rsid w:val="005951A6"/>
    <w:rsid w:val="00595F86"/>
    <w:rsid w:val="005A0968"/>
    <w:rsid w:val="005A0FB7"/>
    <w:rsid w:val="005A25AC"/>
    <w:rsid w:val="005A28C9"/>
    <w:rsid w:val="005A3514"/>
    <w:rsid w:val="005A3FD7"/>
    <w:rsid w:val="005A4493"/>
    <w:rsid w:val="005A536F"/>
    <w:rsid w:val="005A6BE8"/>
    <w:rsid w:val="005B0A27"/>
    <w:rsid w:val="005B1E83"/>
    <w:rsid w:val="005B458D"/>
    <w:rsid w:val="005B483D"/>
    <w:rsid w:val="005B4A19"/>
    <w:rsid w:val="005B6A58"/>
    <w:rsid w:val="005B7C1C"/>
    <w:rsid w:val="005C14AC"/>
    <w:rsid w:val="005C1611"/>
    <w:rsid w:val="005C3805"/>
    <w:rsid w:val="005C38AB"/>
    <w:rsid w:val="005C5693"/>
    <w:rsid w:val="005C720B"/>
    <w:rsid w:val="005D01DD"/>
    <w:rsid w:val="005D5865"/>
    <w:rsid w:val="005D730B"/>
    <w:rsid w:val="005D7DDA"/>
    <w:rsid w:val="005E3610"/>
    <w:rsid w:val="005E6D70"/>
    <w:rsid w:val="005E71A3"/>
    <w:rsid w:val="005F0A9A"/>
    <w:rsid w:val="005F2B3E"/>
    <w:rsid w:val="005F4A98"/>
    <w:rsid w:val="005F52A0"/>
    <w:rsid w:val="005F6A45"/>
    <w:rsid w:val="005F7298"/>
    <w:rsid w:val="0060209A"/>
    <w:rsid w:val="00602D56"/>
    <w:rsid w:val="006109CF"/>
    <w:rsid w:val="0061106D"/>
    <w:rsid w:val="00611480"/>
    <w:rsid w:val="0061263A"/>
    <w:rsid w:val="00612F47"/>
    <w:rsid w:val="006142B9"/>
    <w:rsid w:val="00616E24"/>
    <w:rsid w:val="006208E7"/>
    <w:rsid w:val="0062134E"/>
    <w:rsid w:val="00622590"/>
    <w:rsid w:val="006226CB"/>
    <w:rsid w:val="006228B0"/>
    <w:rsid w:val="00623939"/>
    <w:rsid w:val="00623AD8"/>
    <w:rsid w:val="0062643F"/>
    <w:rsid w:val="00631AE0"/>
    <w:rsid w:val="00631B3A"/>
    <w:rsid w:val="0063230F"/>
    <w:rsid w:val="00632984"/>
    <w:rsid w:val="00632ABC"/>
    <w:rsid w:val="0063358D"/>
    <w:rsid w:val="006372C1"/>
    <w:rsid w:val="006377F0"/>
    <w:rsid w:val="00637BD8"/>
    <w:rsid w:val="00637DDF"/>
    <w:rsid w:val="0064062F"/>
    <w:rsid w:val="00641054"/>
    <w:rsid w:val="00641FF1"/>
    <w:rsid w:val="00642A63"/>
    <w:rsid w:val="00642CD8"/>
    <w:rsid w:val="00650336"/>
    <w:rsid w:val="00653770"/>
    <w:rsid w:val="00654564"/>
    <w:rsid w:val="006549D3"/>
    <w:rsid w:val="00655E9C"/>
    <w:rsid w:val="00656055"/>
    <w:rsid w:val="00656D23"/>
    <w:rsid w:val="006573DF"/>
    <w:rsid w:val="00657A77"/>
    <w:rsid w:val="00657E34"/>
    <w:rsid w:val="00662BB4"/>
    <w:rsid w:val="00663E2A"/>
    <w:rsid w:val="00664B2F"/>
    <w:rsid w:val="00667914"/>
    <w:rsid w:val="00667A2B"/>
    <w:rsid w:val="00671323"/>
    <w:rsid w:val="00672A96"/>
    <w:rsid w:val="00675165"/>
    <w:rsid w:val="00675B77"/>
    <w:rsid w:val="006767FD"/>
    <w:rsid w:val="00676A79"/>
    <w:rsid w:val="00676AC8"/>
    <w:rsid w:val="0067735C"/>
    <w:rsid w:val="006803D3"/>
    <w:rsid w:val="00680AB6"/>
    <w:rsid w:val="006824C2"/>
    <w:rsid w:val="0068285C"/>
    <w:rsid w:val="00684B24"/>
    <w:rsid w:val="00686342"/>
    <w:rsid w:val="00686FBC"/>
    <w:rsid w:val="0069067B"/>
    <w:rsid w:val="00691312"/>
    <w:rsid w:val="00691CB2"/>
    <w:rsid w:val="00692DD3"/>
    <w:rsid w:val="00693731"/>
    <w:rsid w:val="006A0894"/>
    <w:rsid w:val="006A1069"/>
    <w:rsid w:val="006A1B27"/>
    <w:rsid w:val="006A3CC4"/>
    <w:rsid w:val="006A4027"/>
    <w:rsid w:val="006A567C"/>
    <w:rsid w:val="006A731A"/>
    <w:rsid w:val="006A7444"/>
    <w:rsid w:val="006A7810"/>
    <w:rsid w:val="006B05AD"/>
    <w:rsid w:val="006B11D4"/>
    <w:rsid w:val="006B1F53"/>
    <w:rsid w:val="006B315A"/>
    <w:rsid w:val="006B3B05"/>
    <w:rsid w:val="006B55A8"/>
    <w:rsid w:val="006C050B"/>
    <w:rsid w:val="006C210D"/>
    <w:rsid w:val="006C492A"/>
    <w:rsid w:val="006C4F7E"/>
    <w:rsid w:val="006C7B81"/>
    <w:rsid w:val="006D0B6F"/>
    <w:rsid w:val="006D0C7B"/>
    <w:rsid w:val="006D5E1C"/>
    <w:rsid w:val="006D69A1"/>
    <w:rsid w:val="006D6D46"/>
    <w:rsid w:val="006D7BB1"/>
    <w:rsid w:val="006E05BC"/>
    <w:rsid w:val="006E1B23"/>
    <w:rsid w:val="006E286D"/>
    <w:rsid w:val="006E349B"/>
    <w:rsid w:val="006E3B4A"/>
    <w:rsid w:val="006F15FE"/>
    <w:rsid w:val="006F4002"/>
    <w:rsid w:val="00710F67"/>
    <w:rsid w:val="007145B1"/>
    <w:rsid w:val="00714D27"/>
    <w:rsid w:val="0071544F"/>
    <w:rsid w:val="00715547"/>
    <w:rsid w:val="00716937"/>
    <w:rsid w:val="00717052"/>
    <w:rsid w:val="00717560"/>
    <w:rsid w:val="0072168E"/>
    <w:rsid w:val="00721A37"/>
    <w:rsid w:val="007220B1"/>
    <w:rsid w:val="007234A8"/>
    <w:rsid w:val="00723834"/>
    <w:rsid w:val="00724743"/>
    <w:rsid w:val="00724886"/>
    <w:rsid w:val="00724ABF"/>
    <w:rsid w:val="00724DE9"/>
    <w:rsid w:val="007253FF"/>
    <w:rsid w:val="00730B2B"/>
    <w:rsid w:val="007313F0"/>
    <w:rsid w:val="007325C3"/>
    <w:rsid w:val="00736579"/>
    <w:rsid w:val="00737491"/>
    <w:rsid w:val="007414D1"/>
    <w:rsid w:val="007423F7"/>
    <w:rsid w:val="00744ED3"/>
    <w:rsid w:val="007458E3"/>
    <w:rsid w:val="00745B0F"/>
    <w:rsid w:val="007465B8"/>
    <w:rsid w:val="007468E3"/>
    <w:rsid w:val="00746DE5"/>
    <w:rsid w:val="007525E6"/>
    <w:rsid w:val="00753FFD"/>
    <w:rsid w:val="00760340"/>
    <w:rsid w:val="00760CD7"/>
    <w:rsid w:val="0076207A"/>
    <w:rsid w:val="007626F1"/>
    <w:rsid w:val="00762AAB"/>
    <w:rsid w:val="00763EA4"/>
    <w:rsid w:val="00764302"/>
    <w:rsid w:val="00764F14"/>
    <w:rsid w:val="00765872"/>
    <w:rsid w:val="00770A24"/>
    <w:rsid w:val="00770CBB"/>
    <w:rsid w:val="00770EB7"/>
    <w:rsid w:val="007712F3"/>
    <w:rsid w:val="007719EB"/>
    <w:rsid w:val="00772764"/>
    <w:rsid w:val="0077327C"/>
    <w:rsid w:val="00773488"/>
    <w:rsid w:val="0077399D"/>
    <w:rsid w:val="00774885"/>
    <w:rsid w:val="00782BD5"/>
    <w:rsid w:val="00784105"/>
    <w:rsid w:val="00784BFA"/>
    <w:rsid w:val="00785E83"/>
    <w:rsid w:val="00786811"/>
    <w:rsid w:val="007870F6"/>
    <w:rsid w:val="007871E4"/>
    <w:rsid w:val="00787309"/>
    <w:rsid w:val="007875E5"/>
    <w:rsid w:val="007907E2"/>
    <w:rsid w:val="00790B44"/>
    <w:rsid w:val="00791F5E"/>
    <w:rsid w:val="00792AB6"/>
    <w:rsid w:val="00792CD2"/>
    <w:rsid w:val="00793593"/>
    <w:rsid w:val="00795732"/>
    <w:rsid w:val="00797100"/>
    <w:rsid w:val="007A3E31"/>
    <w:rsid w:val="007A3EA8"/>
    <w:rsid w:val="007A41FD"/>
    <w:rsid w:val="007A5056"/>
    <w:rsid w:val="007A5DF9"/>
    <w:rsid w:val="007A5E3C"/>
    <w:rsid w:val="007A674A"/>
    <w:rsid w:val="007A74D2"/>
    <w:rsid w:val="007A7D0A"/>
    <w:rsid w:val="007A7DEC"/>
    <w:rsid w:val="007B127B"/>
    <w:rsid w:val="007B5BFB"/>
    <w:rsid w:val="007B5C1B"/>
    <w:rsid w:val="007B6838"/>
    <w:rsid w:val="007B6949"/>
    <w:rsid w:val="007B77C4"/>
    <w:rsid w:val="007B7EBA"/>
    <w:rsid w:val="007C0E91"/>
    <w:rsid w:val="007C126F"/>
    <w:rsid w:val="007C2448"/>
    <w:rsid w:val="007C2D50"/>
    <w:rsid w:val="007C3C03"/>
    <w:rsid w:val="007C5169"/>
    <w:rsid w:val="007C580E"/>
    <w:rsid w:val="007C65BE"/>
    <w:rsid w:val="007D4811"/>
    <w:rsid w:val="007E1CBA"/>
    <w:rsid w:val="007E1FED"/>
    <w:rsid w:val="007E7408"/>
    <w:rsid w:val="007E778D"/>
    <w:rsid w:val="007F0E6B"/>
    <w:rsid w:val="007F158D"/>
    <w:rsid w:val="007F29A3"/>
    <w:rsid w:val="007F3363"/>
    <w:rsid w:val="007F4E7D"/>
    <w:rsid w:val="007F6AD0"/>
    <w:rsid w:val="00800270"/>
    <w:rsid w:val="00802B0F"/>
    <w:rsid w:val="00804A28"/>
    <w:rsid w:val="0080679C"/>
    <w:rsid w:val="00806CFD"/>
    <w:rsid w:val="00810FDC"/>
    <w:rsid w:val="00811B44"/>
    <w:rsid w:val="00813CEC"/>
    <w:rsid w:val="00813D43"/>
    <w:rsid w:val="00817D25"/>
    <w:rsid w:val="00817DD3"/>
    <w:rsid w:val="0082075A"/>
    <w:rsid w:val="0082179E"/>
    <w:rsid w:val="008217D1"/>
    <w:rsid w:val="00821C3E"/>
    <w:rsid w:val="00824DD4"/>
    <w:rsid w:val="00825E9E"/>
    <w:rsid w:val="008271F5"/>
    <w:rsid w:val="00827CA7"/>
    <w:rsid w:val="008334E2"/>
    <w:rsid w:val="00835168"/>
    <w:rsid w:val="00835636"/>
    <w:rsid w:val="00841AF8"/>
    <w:rsid w:val="00841E4A"/>
    <w:rsid w:val="00843FA3"/>
    <w:rsid w:val="00845290"/>
    <w:rsid w:val="00845D4F"/>
    <w:rsid w:val="00846066"/>
    <w:rsid w:val="00846AEA"/>
    <w:rsid w:val="00846DAF"/>
    <w:rsid w:val="00850008"/>
    <w:rsid w:val="00850771"/>
    <w:rsid w:val="008533CC"/>
    <w:rsid w:val="00853B6D"/>
    <w:rsid w:val="00853C06"/>
    <w:rsid w:val="008544A3"/>
    <w:rsid w:val="00855E68"/>
    <w:rsid w:val="008566C1"/>
    <w:rsid w:val="00861D54"/>
    <w:rsid w:val="00863584"/>
    <w:rsid w:val="00864647"/>
    <w:rsid w:val="00867701"/>
    <w:rsid w:val="008707EB"/>
    <w:rsid w:val="00874BEE"/>
    <w:rsid w:val="00874FCD"/>
    <w:rsid w:val="0087580C"/>
    <w:rsid w:val="008762CC"/>
    <w:rsid w:val="00876D93"/>
    <w:rsid w:val="00877E90"/>
    <w:rsid w:val="00882A58"/>
    <w:rsid w:val="008841E1"/>
    <w:rsid w:val="0088444B"/>
    <w:rsid w:val="00886725"/>
    <w:rsid w:val="00886A5B"/>
    <w:rsid w:val="00886C66"/>
    <w:rsid w:val="00887C6E"/>
    <w:rsid w:val="00892290"/>
    <w:rsid w:val="0089452B"/>
    <w:rsid w:val="00895D4D"/>
    <w:rsid w:val="008A0A19"/>
    <w:rsid w:val="008A1370"/>
    <w:rsid w:val="008A1A17"/>
    <w:rsid w:val="008A2ABA"/>
    <w:rsid w:val="008A301D"/>
    <w:rsid w:val="008A7D4D"/>
    <w:rsid w:val="008B105C"/>
    <w:rsid w:val="008B1242"/>
    <w:rsid w:val="008B1A3E"/>
    <w:rsid w:val="008B1FD7"/>
    <w:rsid w:val="008B259B"/>
    <w:rsid w:val="008B4F66"/>
    <w:rsid w:val="008B63B8"/>
    <w:rsid w:val="008B7106"/>
    <w:rsid w:val="008B7BC8"/>
    <w:rsid w:val="008C21E6"/>
    <w:rsid w:val="008C24AC"/>
    <w:rsid w:val="008C26F2"/>
    <w:rsid w:val="008C31A8"/>
    <w:rsid w:val="008C335A"/>
    <w:rsid w:val="008C3748"/>
    <w:rsid w:val="008C4087"/>
    <w:rsid w:val="008C4E81"/>
    <w:rsid w:val="008C65BD"/>
    <w:rsid w:val="008D028B"/>
    <w:rsid w:val="008D33C8"/>
    <w:rsid w:val="008D34CF"/>
    <w:rsid w:val="008D4B18"/>
    <w:rsid w:val="008D4FF6"/>
    <w:rsid w:val="008D5152"/>
    <w:rsid w:val="008D57E6"/>
    <w:rsid w:val="008D6E36"/>
    <w:rsid w:val="008D6F3B"/>
    <w:rsid w:val="008D750C"/>
    <w:rsid w:val="008E11C5"/>
    <w:rsid w:val="008E2B17"/>
    <w:rsid w:val="008E46BE"/>
    <w:rsid w:val="008E50BB"/>
    <w:rsid w:val="008E54CE"/>
    <w:rsid w:val="008E5502"/>
    <w:rsid w:val="008E697B"/>
    <w:rsid w:val="008E7249"/>
    <w:rsid w:val="008E78CC"/>
    <w:rsid w:val="008E7F05"/>
    <w:rsid w:val="008F1D52"/>
    <w:rsid w:val="008F279B"/>
    <w:rsid w:val="008F2ED5"/>
    <w:rsid w:val="008F3070"/>
    <w:rsid w:val="008F3D84"/>
    <w:rsid w:val="008F44ED"/>
    <w:rsid w:val="008F5230"/>
    <w:rsid w:val="008F52C1"/>
    <w:rsid w:val="008F6EFB"/>
    <w:rsid w:val="008F7245"/>
    <w:rsid w:val="00900370"/>
    <w:rsid w:val="00900BA3"/>
    <w:rsid w:val="009028CB"/>
    <w:rsid w:val="00902AC0"/>
    <w:rsid w:val="00903DA6"/>
    <w:rsid w:val="00904E25"/>
    <w:rsid w:val="009055E9"/>
    <w:rsid w:val="009063CC"/>
    <w:rsid w:val="00906863"/>
    <w:rsid w:val="00910500"/>
    <w:rsid w:val="00913119"/>
    <w:rsid w:val="00914EC4"/>
    <w:rsid w:val="0091508E"/>
    <w:rsid w:val="00915096"/>
    <w:rsid w:val="00917036"/>
    <w:rsid w:val="00920F5E"/>
    <w:rsid w:val="009215A6"/>
    <w:rsid w:val="0092335F"/>
    <w:rsid w:val="009238A4"/>
    <w:rsid w:val="00923F70"/>
    <w:rsid w:val="0092413A"/>
    <w:rsid w:val="009242B9"/>
    <w:rsid w:val="009249DF"/>
    <w:rsid w:val="0092506C"/>
    <w:rsid w:val="00925132"/>
    <w:rsid w:val="00926AF1"/>
    <w:rsid w:val="00932A59"/>
    <w:rsid w:val="009337DD"/>
    <w:rsid w:val="009343D3"/>
    <w:rsid w:val="00937122"/>
    <w:rsid w:val="00937EE0"/>
    <w:rsid w:val="00942AF1"/>
    <w:rsid w:val="00942BC2"/>
    <w:rsid w:val="00944389"/>
    <w:rsid w:val="00945745"/>
    <w:rsid w:val="009459FC"/>
    <w:rsid w:val="00945A94"/>
    <w:rsid w:val="00946CF0"/>
    <w:rsid w:val="00946E77"/>
    <w:rsid w:val="00947954"/>
    <w:rsid w:val="009506DF"/>
    <w:rsid w:val="0095174E"/>
    <w:rsid w:val="00954D99"/>
    <w:rsid w:val="00954E3E"/>
    <w:rsid w:val="009554C0"/>
    <w:rsid w:val="00956193"/>
    <w:rsid w:val="00961639"/>
    <w:rsid w:val="009623F1"/>
    <w:rsid w:val="00962629"/>
    <w:rsid w:val="009632D9"/>
    <w:rsid w:val="0096401E"/>
    <w:rsid w:val="009652E6"/>
    <w:rsid w:val="009677B6"/>
    <w:rsid w:val="009677B8"/>
    <w:rsid w:val="00971041"/>
    <w:rsid w:val="0097377D"/>
    <w:rsid w:val="00976791"/>
    <w:rsid w:val="00977495"/>
    <w:rsid w:val="009779FB"/>
    <w:rsid w:val="009801F1"/>
    <w:rsid w:val="00980C35"/>
    <w:rsid w:val="00982002"/>
    <w:rsid w:val="009837B1"/>
    <w:rsid w:val="009842B3"/>
    <w:rsid w:val="009872F0"/>
    <w:rsid w:val="00987856"/>
    <w:rsid w:val="00991C0D"/>
    <w:rsid w:val="009934FD"/>
    <w:rsid w:val="009939AC"/>
    <w:rsid w:val="00994E2D"/>
    <w:rsid w:val="0099516C"/>
    <w:rsid w:val="00996823"/>
    <w:rsid w:val="00996E68"/>
    <w:rsid w:val="009974F8"/>
    <w:rsid w:val="009A0AA5"/>
    <w:rsid w:val="009A103C"/>
    <w:rsid w:val="009A1BDA"/>
    <w:rsid w:val="009A45BC"/>
    <w:rsid w:val="009A49D9"/>
    <w:rsid w:val="009A6734"/>
    <w:rsid w:val="009A75A9"/>
    <w:rsid w:val="009B36E3"/>
    <w:rsid w:val="009B6AF0"/>
    <w:rsid w:val="009B7209"/>
    <w:rsid w:val="009C0024"/>
    <w:rsid w:val="009C0806"/>
    <w:rsid w:val="009C0A9F"/>
    <w:rsid w:val="009C1250"/>
    <w:rsid w:val="009C33F5"/>
    <w:rsid w:val="009C42FD"/>
    <w:rsid w:val="009C449A"/>
    <w:rsid w:val="009C493C"/>
    <w:rsid w:val="009C4C42"/>
    <w:rsid w:val="009C5F8B"/>
    <w:rsid w:val="009C760E"/>
    <w:rsid w:val="009D0373"/>
    <w:rsid w:val="009D04E6"/>
    <w:rsid w:val="009D0DC9"/>
    <w:rsid w:val="009D2739"/>
    <w:rsid w:val="009D306C"/>
    <w:rsid w:val="009D4341"/>
    <w:rsid w:val="009D444A"/>
    <w:rsid w:val="009D44BF"/>
    <w:rsid w:val="009D6197"/>
    <w:rsid w:val="009D634A"/>
    <w:rsid w:val="009D6EAC"/>
    <w:rsid w:val="009D727E"/>
    <w:rsid w:val="009E083C"/>
    <w:rsid w:val="009E3C74"/>
    <w:rsid w:val="009E54DC"/>
    <w:rsid w:val="009E6314"/>
    <w:rsid w:val="009E65C2"/>
    <w:rsid w:val="009E7327"/>
    <w:rsid w:val="009E7619"/>
    <w:rsid w:val="009F0DA6"/>
    <w:rsid w:val="009F2A79"/>
    <w:rsid w:val="009F4CEB"/>
    <w:rsid w:val="009F6553"/>
    <w:rsid w:val="009F6B07"/>
    <w:rsid w:val="009F6C42"/>
    <w:rsid w:val="00A00174"/>
    <w:rsid w:val="00A00666"/>
    <w:rsid w:val="00A01F63"/>
    <w:rsid w:val="00A0563B"/>
    <w:rsid w:val="00A0638D"/>
    <w:rsid w:val="00A07590"/>
    <w:rsid w:val="00A07B04"/>
    <w:rsid w:val="00A130FF"/>
    <w:rsid w:val="00A13281"/>
    <w:rsid w:val="00A14832"/>
    <w:rsid w:val="00A14A39"/>
    <w:rsid w:val="00A15C7B"/>
    <w:rsid w:val="00A1675C"/>
    <w:rsid w:val="00A216E2"/>
    <w:rsid w:val="00A24664"/>
    <w:rsid w:val="00A24FF2"/>
    <w:rsid w:val="00A25C72"/>
    <w:rsid w:val="00A2692C"/>
    <w:rsid w:val="00A26ED3"/>
    <w:rsid w:val="00A32770"/>
    <w:rsid w:val="00A33695"/>
    <w:rsid w:val="00A33DBA"/>
    <w:rsid w:val="00A361EA"/>
    <w:rsid w:val="00A40553"/>
    <w:rsid w:val="00A409DD"/>
    <w:rsid w:val="00A43A8C"/>
    <w:rsid w:val="00A47086"/>
    <w:rsid w:val="00A50D4E"/>
    <w:rsid w:val="00A5127C"/>
    <w:rsid w:val="00A5150E"/>
    <w:rsid w:val="00A53EF4"/>
    <w:rsid w:val="00A54E39"/>
    <w:rsid w:val="00A55927"/>
    <w:rsid w:val="00A61D57"/>
    <w:rsid w:val="00A62271"/>
    <w:rsid w:val="00A63984"/>
    <w:rsid w:val="00A64115"/>
    <w:rsid w:val="00A64B8B"/>
    <w:rsid w:val="00A64BFF"/>
    <w:rsid w:val="00A64CC1"/>
    <w:rsid w:val="00A64DA8"/>
    <w:rsid w:val="00A65988"/>
    <w:rsid w:val="00A67398"/>
    <w:rsid w:val="00A71B89"/>
    <w:rsid w:val="00A742E7"/>
    <w:rsid w:val="00A75E7D"/>
    <w:rsid w:val="00A76229"/>
    <w:rsid w:val="00A77232"/>
    <w:rsid w:val="00A77724"/>
    <w:rsid w:val="00A77A0E"/>
    <w:rsid w:val="00A80EC4"/>
    <w:rsid w:val="00A814A4"/>
    <w:rsid w:val="00A84856"/>
    <w:rsid w:val="00A849F4"/>
    <w:rsid w:val="00A8727C"/>
    <w:rsid w:val="00A87D18"/>
    <w:rsid w:val="00A913E7"/>
    <w:rsid w:val="00A9462E"/>
    <w:rsid w:val="00A9635E"/>
    <w:rsid w:val="00AA0728"/>
    <w:rsid w:val="00AA19DF"/>
    <w:rsid w:val="00AA3323"/>
    <w:rsid w:val="00AA3D5C"/>
    <w:rsid w:val="00AA48BB"/>
    <w:rsid w:val="00AA4EB9"/>
    <w:rsid w:val="00AA6779"/>
    <w:rsid w:val="00AA76AE"/>
    <w:rsid w:val="00AB0570"/>
    <w:rsid w:val="00AB2472"/>
    <w:rsid w:val="00AB300C"/>
    <w:rsid w:val="00AB38B4"/>
    <w:rsid w:val="00AB4059"/>
    <w:rsid w:val="00AB4388"/>
    <w:rsid w:val="00AB5928"/>
    <w:rsid w:val="00AB5CBE"/>
    <w:rsid w:val="00AB6DF0"/>
    <w:rsid w:val="00AC000D"/>
    <w:rsid w:val="00AC003C"/>
    <w:rsid w:val="00AC24DC"/>
    <w:rsid w:val="00AC2986"/>
    <w:rsid w:val="00AC394A"/>
    <w:rsid w:val="00AC729D"/>
    <w:rsid w:val="00AC7512"/>
    <w:rsid w:val="00AC7781"/>
    <w:rsid w:val="00AD12D1"/>
    <w:rsid w:val="00AD2678"/>
    <w:rsid w:val="00AD269C"/>
    <w:rsid w:val="00AD3F4E"/>
    <w:rsid w:val="00AD40BF"/>
    <w:rsid w:val="00AD491B"/>
    <w:rsid w:val="00AE18C4"/>
    <w:rsid w:val="00AE202F"/>
    <w:rsid w:val="00AE216F"/>
    <w:rsid w:val="00AE22F5"/>
    <w:rsid w:val="00AE3ED1"/>
    <w:rsid w:val="00AE476B"/>
    <w:rsid w:val="00AE50AD"/>
    <w:rsid w:val="00AE5884"/>
    <w:rsid w:val="00AE5BAF"/>
    <w:rsid w:val="00AE6843"/>
    <w:rsid w:val="00AF2203"/>
    <w:rsid w:val="00AF5433"/>
    <w:rsid w:val="00AF6AC5"/>
    <w:rsid w:val="00B0026F"/>
    <w:rsid w:val="00B008EE"/>
    <w:rsid w:val="00B009C9"/>
    <w:rsid w:val="00B02031"/>
    <w:rsid w:val="00B02322"/>
    <w:rsid w:val="00B028EF"/>
    <w:rsid w:val="00B02E80"/>
    <w:rsid w:val="00B03836"/>
    <w:rsid w:val="00B051C2"/>
    <w:rsid w:val="00B057FB"/>
    <w:rsid w:val="00B06F0A"/>
    <w:rsid w:val="00B07FC9"/>
    <w:rsid w:val="00B10F0A"/>
    <w:rsid w:val="00B12143"/>
    <w:rsid w:val="00B13675"/>
    <w:rsid w:val="00B14367"/>
    <w:rsid w:val="00B16D3F"/>
    <w:rsid w:val="00B173D6"/>
    <w:rsid w:val="00B17C06"/>
    <w:rsid w:val="00B21BF4"/>
    <w:rsid w:val="00B232F7"/>
    <w:rsid w:val="00B23547"/>
    <w:rsid w:val="00B236CE"/>
    <w:rsid w:val="00B23B6C"/>
    <w:rsid w:val="00B24BD4"/>
    <w:rsid w:val="00B34D41"/>
    <w:rsid w:val="00B36058"/>
    <w:rsid w:val="00B406F1"/>
    <w:rsid w:val="00B406F6"/>
    <w:rsid w:val="00B4100F"/>
    <w:rsid w:val="00B416BA"/>
    <w:rsid w:val="00B43A75"/>
    <w:rsid w:val="00B4510E"/>
    <w:rsid w:val="00B4636D"/>
    <w:rsid w:val="00B47238"/>
    <w:rsid w:val="00B50F8A"/>
    <w:rsid w:val="00B524F3"/>
    <w:rsid w:val="00B54354"/>
    <w:rsid w:val="00B5683E"/>
    <w:rsid w:val="00B56DD4"/>
    <w:rsid w:val="00B57CAF"/>
    <w:rsid w:val="00B60103"/>
    <w:rsid w:val="00B64426"/>
    <w:rsid w:val="00B64B4F"/>
    <w:rsid w:val="00B657AC"/>
    <w:rsid w:val="00B71EC4"/>
    <w:rsid w:val="00B7299D"/>
    <w:rsid w:val="00B742F0"/>
    <w:rsid w:val="00B74BCA"/>
    <w:rsid w:val="00B751C6"/>
    <w:rsid w:val="00B801DA"/>
    <w:rsid w:val="00B805D2"/>
    <w:rsid w:val="00B81CF2"/>
    <w:rsid w:val="00B81DFC"/>
    <w:rsid w:val="00B82C10"/>
    <w:rsid w:val="00B83EC5"/>
    <w:rsid w:val="00B90034"/>
    <w:rsid w:val="00B909B4"/>
    <w:rsid w:val="00B913A7"/>
    <w:rsid w:val="00B931A6"/>
    <w:rsid w:val="00B93314"/>
    <w:rsid w:val="00B941A5"/>
    <w:rsid w:val="00B96077"/>
    <w:rsid w:val="00B960CC"/>
    <w:rsid w:val="00BA017E"/>
    <w:rsid w:val="00BA0559"/>
    <w:rsid w:val="00BA0BBC"/>
    <w:rsid w:val="00BA38D5"/>
    <w:rsid w:val="00BA50B1"/>
    <w:rsid w:val="00BA613A"/>
    <w:rsid w:val="00BA6D90"/>
    <w:rsid w:val="00BA7235"/>
    <w:rsid w:val="00BA75C3"/>
    <w:rsid w:val="00BA76EE"/>
    <w:rsid w:val="00BB1937"/>
    <w:rsid w:val="00BB1C78"/>
    <w:rsid w:val="00BB2901"/>
    <w:rsid w:val="00BB4615"/>
    <w:rsid w:val="00BB6003"/>
    <w:rsid w:val="00BB6F4B"/>
    <w:rsid w:val="00BB705F"/>
    <w:rsid w:val="00BC17F7"/>
    <w:rsid w:val="00BC2003"/>
    <w:rsid w:val="00BC35EA"/>
    <w:rsid w:val="00BC3A43"/>
    <w:rsid w:val="00BC3F45"/>
    <w:rsid w:val="00BC5A58"/>
    <w:rsid w:val="00BC6E80"/>
    <w:rsid w:val="00BD10BA"/>
    <w:rsid w:val="00BD1DB6"/>
    <w:rsid w:val="00BD3C60"/>
    <w:rsid w:val="00BD4AC0"/>
    <w:rsid w:val="00BD50D4"/>
    <w:rsid w:val="00BD6097"/>
    <w:rsid w:val="00BD6692"/>
    <w:rsid w:val="00BE0155"/>
    <w:rsid w:val="00BE0890"/>
    <w:rsid w:val="00BE1183"/>
    <w:rsid w:val="00BE21CC"/>
    <w:rsid w:val="00BE552E"/>
    <w:rsid w:val="00BE6F91"/>
    <w:rsid w:val="00BE7DE7"/>
    <w:rsid w:val="00BF09E5"/>
    <w:rsid w:val="00BF2D73"/>
    <w:rsid w:val="00BF3B3C"/>
    <w:rsid w:val="00BF4694"/>
    <w:rsid w:val="00BF5930"/>
    <w:rsid w:val="00C03BCA"/>
    <w:rsid w:val="00C07543"/>
    <w:rsid w:val="00C11618"/>
    <w:rsid w:val="00C11D6A"/>
    <w:rsid w:val="00C13338"/>
    <w:rsid w:val="00C13BEF"/>
    <w:rsid w:val="00C14F5A"/>
    <w:rsid w:val="00C151AC"/>
    <w:rsid w:val="00C16288"/>
    <w:rsid w:val="00C1787A"/>
    <w:rsid w:val="00C23332"/>
    <w:rsid w:val="00C2637A"/>
    <w:rsid w:val="00C26F41"/>
    <w:rsid w:val="00C26F63"/>
    <w:rsid w:val="00C27319"/>
    <w:rsid w:val="00C30A1A"/>
    <w:rsid w:val="00C315FE"/>
    <w:rsid w:val="00C32052"/>
    <w:rsid w:val="00C34421"/>
    <w:rsid w:val="00C35836"/>
    <w:rsid w:val="00C36802"/>
    <w:rsid w:val="00C37AED"/>
    <w:rsid w:val="00C37D37"/>
    <w:rsid w:val="00C37EBE"/>
    <w:rsid w:val="00C428F9"/>
    <w:rsid w:val="00C42B5F"/>
    <w:rsid w:val="00C43082"/>
    <w:rsid w:val="00C45AF1"/>
    <w:rsid w:val="00C508A1"/>
    <w:rsid w:val="00C51A09"/>
    <w:rsid w:val="00C5229F"/>
    <w:rsid w:val="00C53823"/>
    <w:rsid w:val="00C566BC"/>
    <w:rsid w:val="00C604B5"/>
    <w:rsid w:val="00C620F1"/>
    <w:rsid w:val="00C6228D"/>
    <w:rsid w:val="00C62BE1"/>
    <w:rsid w:val="00C63CD8"/>
    <w:rsid w:val="00C646AB"/>
    <w:rsid w:val="00C650F9"/>
    <w:rsid w:val="00C661B3"/>
    <w:rsid w:val="00C668A4"/>
    <w:rsid w:val="00C674EA"/>
    <w:rsid w:val="00C700F5"/>
    <w:rsid w:val="00C71064"/>
    <w:rsid w:val="00C73E0E"/>
    <w:rsid w:val="00C74127"/>
    <w:rsid w:val="00C7470E"/>
    <w:rsid w:val="00C75F0E"/>
    <w:rsid w:val="00C7719E"/>
    <w:rsid w:val="00C7747C"/>
    <w:rsid w:val="00C82383"/>
    <w:rsid w:val="00C835CD"/>
    <w:rsid w:val="00C85A16"/>
    <w:rsid w:val="00C85B55"/>
    <w:rsid w:val="00C85F21"/>
    <w:rsid w:val="00C861A5"/>
    <w:rsid w:val="00C868B1"/>
    <w:rsid w:val="00C9178F"/>
    <w:rsid w:val="00C91973"/>
    <w:rsid w:val="00C91B18"/>
    <w:rsid w:val="00C91BD1"/>
    <w:rsid w:val="00C91D94"/>
    <w:rsid w:val="00C93DE7"/>
    <w:rsid w:val="00C94247"/>
    <w:rsid w:val="00C94ABC"/>
    <w:rsid w:val="00C95E08"/>
    <w:rsid w:val="00C96500"/>
    <w:rsid w:val="00CA0763"/>
    <w:rsid w:val="00CA23B9"/>
    <w:rsid w:val="00CA35AF"/>
    <w:rsid w:val="00CA4F70"/>
    <w:rsid w:val="00CA6E44"/>
    <w:rsid w:val="00CB01FE"/>
    <w:rsid w:val="00CB06A1"/>
    <w:rsid w:val="00CB3546"/>
    <w:rsid w:val="00CB3ECF"/>
    <w:rsid w:val="00CB5342"/>
    <w:rsid w:val="00CB7770"/>
    <w:rsid w:val="00CC274F"/>
    <w:rsid w:val="00CC34A1"/>
    <w:rsid w:val="00CC35AE"/>
    <w:rsid w:val="00CC3E43"/>
    <w:rsid w:val="00CC48E1"/>
    <w:rsid w:val="00CC7B0C"/>
    <w:rsid w:val="00CD0A2C"/>
    <w:rsid w:val="00CD383D"/>
    <w:rsid w:val="00CD63FF"/>
    <w:rsid w:val="00CD685E"/>
    <w:rsid w:val="00CD72EC"/>
    <w:rsid w:val="00CD771C"/>
    <w:rsid w:val="00CD7B14"/>
    <w:rsid w:val="00CD7BD0"/>
    <w:rsid w:val="00CE0408"/>
    <w:rsid w:val="00CE14DE"/>
    <w:rsid w:val="00CE32FB"/>
    <w:rsid w:val="00CE39C3"/>
    <w:rsid w:val="00CE5CC4"/>
    <w:rsid w:val="00CE6E80"/>
    <w:rsid w:val="00CE6F0A"/>
    <w:rsid w:val="00CE74C9"/>
    <w:rsid w:val="00CF18F3"/>
    <w:rsid w:val="00CF214A"/>
    <w:rsid w:val="00CF2BB7"/>
    <w:rsid w:val="00CF39EC"/>
    <w:rsid w:val="00CF5657"/>
    <w:rsid w:val="00CF5D35"/>
    <w:rsid w:val="00D00CE2"/>
    <w:rsid w:val="00D02513"/>
    <w:rsid w:val="00D03767"/>
    <w:rsid w:val="00D03F3D"/>
    <w:rsid w:val="00D04322"/>
    <w:rsid w:val="00D04825"/>
    <w:rsid w:val="00D049E3"/>
    <w:rsid w:val="00D07DEC"/>
    <w:rsid w:val="00D12059"/>
    <w:rsid w:val="00D12E3E"/>
    <w:rsid w:val="00D13931"/>
    <w:rsid w:val="00D13B99"/>
    <w:rsid w:val="00D14360"/>
    <w:rsid w:val="00D17727"/>
    <w:rsid w:val="00D22490"/>
    <w:rsid w:val="00D225C5"/>
    <w:rsid w:val="00D22B6E"/>
    <w:rsid w:val="00D233BD"/>
    <w:rsid w:val="00D237C4"/>
    <w:rsid w:val="00D311BD"/>
    <w:rsid w:val="00D317E1"/>
    <w:rsid w:val="00D32EEA"/>
    <w:rsid w:val="00D33F64"/>
    <w:rsid w:val="00D368EE"/>
    <w:rsid w:val="00D370C5"/>
    <w:rsid w:val="00D41E1D"/>
    <w:rsid w:val="00D44A4D"/>
    <w:rsid w:val="00D46DA7"/>
    <w:rsid w:val="00D470E8"/>
    <w:rsid w:val="00D479B8"/>
    <w:rsid w:val="00D50679"/>
    <w:rsid w:val="00D53AF5"/>
    <w:rsid w:val="00D55058"/>
    <w:rsid w:val="00D5640A"/>
    <w:rsid w:val="00D565E0"/>
    <w:rsid w:val="00D636D5"/>
    <w:rsid w:val="00D64CC3"/>
    <w:rsid w:val="00D66B17"/>
    <w:rsid w:val="00D66E7C"/>
    <w:rsid w:val="00D67A55"/>
    <w:rsid w:val="00D703CB"/>
    <w:rsid w:val="00D70C86"/>
    <w:rsid w:val="00D719D6"/>
    <w:rsid w:val="00D7346C"/>
    <w:rsid w:val="00D739DC"/>
    <w:rsid w:val="00D760E6"/>
    <w:rsid w:val="00D76966"/>
    <w:rsid w:val="00D7707D"/>
    <w:rsid w:val="00D80B89"/>
    <w:rsid w:val="00D80BE5"/>
    <w:rsid w:val="00D80E98"/>
    <w:rsid w:val="00D83B62"/>
    <w:rsid w:val="00D8469E"/>
    <w:rsid w:val="00D857B3"/>
    <w:rsid w:val="00D85D88"/>
    <w:rsid w:val="00D86FB3"/>
    <w:rsid w:val="00D877CB"/>
    <w:rsid w:val="00D92F2E"/>
    <w:rsid w:val="00D94430"/>
    <w:rsid w:val="00D94FB4"/>
    <w:rsid w:val="00D96124"/>
    <w:rsid w:val="00D965C7"/>
    <w:rsid w:val="00D97C48"/>
    <w:rsid w:val="00DA0432"/>
    <w:rsid w:val="00DA2863"/>
    <w:rsid w:val="00DA2E29"/>
    <w:rsid w:val="00DA3666"/>
    <w:rsid w:val="00DA420C"/>
    <w:rsid w:val="00DA4750"/>
    <w:rsid w:val="00DA486D"/>
    <w:rsid w:val="00DA4C91"/>
    <w:rsid w:val="00DA518D"/>
    <w:rsid w:val="00DA5E3D"/>
    <w:rsid w:val="00DB11EF"/>
    <w:rsid w:val="00DB23A1"/>
    <w:rsid w:val="00DB2982"/>
    <w:rsid w:val="00DB2A95"/>
    <w:rsid w:val="00DB368D"/>
    <w:rsid w:val="00DB3CCE"/>
    <w:rsid w:val="00DB5451"/>
    <w:rsid w:val="00DB6054"/>
    <w:rsid w:val="00DB6FF3"/>
    <w:rsid w:val="00DB72AE"/>
    <w:rsid w:val="00DC180E"/>
    <w:rsid w:val="00DC1CAE"/>
    <w:rsid w:val="00DC2CF4"/>
    <w:rsid w:val="00DD366A"/>
    <w:rsid w:val="00DD4696"/>
    <w:rsid w:val="00DD5730"/>
    <w:rsid w:val="00DD5A83"/>
    <w:rsid w:val="00DD6C57"/>
    <w:rsid w:val="00DE1C50"/>
    <w:rsid w:val="00DE2723"/>
    <w:rsid w:val="00DE32A0"/>
    <w:rsid w:val="00DE4B16"/>
    <w:rsid w:val="00DE5DEF"/>
    <w:rsid w:val="00DE6416"/>
    <w:rsid w:val="00DE69F7"/>
    <w:rsid w:val="00DE7755"/>
    <w:rsid w:val="00DF0C90"/>
    <w:rsid w:val="00DF24C5"/>
    <w:rsid w:val="00DF5485"/>
    <w:rsid w:val="00DF68C8"/>
    <w:rsid w:val="00DF7757"/>
    <w:rsid w:val="00E02A8C"/>
    <w:rsid w:val="00E03E2A"/>
    <w:rsid w:val="00E06CD4"/>
    <w:rsid w:val="00E11106"/>
    <w:rsid w:val="00E128A8"/>
    <w:rsid w:val="00E137EC"/>
    <w:rsid w:val="00E148FD"/>
    <w:rsid w:val="00E17A6E"/>
    <w:rsid w:val="00E23A1A"/>
    <w:rsid w:val="00E247F3"/>
    <w:rsid w:val="00E25726"/>
    <w:rsid w:val="00E25992"/>
    <w:rsid w:val="00E260DF"/>
    <w:rsid w:val="00E27B55"/>
    <w:rsid w:val="00E3197A"/>
    <w:rsid w:val="00E3239E"/>
    <w:rsid w:val="00E32EDD"/>
    <w:rsid w:val="00E33FA3"/>
    <w:rsid w:val="00E34346"/>
    <w:rsid w:val="00E343AB"/>
    <w:rsid w:val="00E347BF"/>
    <w:rsid w:val="00E353DE"/>
    <w:rsid w:val="00E3640A"/>
    <w:rsid w:val="00E40444"/>
    <w:rsid w:val="00E41B6E"/>
    <w:rsid w:val="00E43DD2"/>
    <w:rsid w:val="00E45ED5"/>
    <w:rsid w:val="00E46B4B"/>
    <w:rsid w:val="00E46CD6"/>
    <w:rsid w:val="00E50C11"/>
    <w:rsid w:val="00E539C5"/>
    <w:rsid w:val="00E5535E"/>
    <w:rsid w:val="00E56C70"/>
    <w:rsid w:val="00E57047"/>
    <w:rsid w:val="00E570CC"/>
    <w:rsid w:val="00E57BDA"/>
    <w:rsid w:val="00E605EA"/>
    <w:rsid w:val="00E60F9F"/>
    <w:rsid w:val="00E653BD"/>
    <w:rsid w:val="00E6598B"/>
    <w:rsid w:val="00E65E00"/>
    <w:rsid w:val="00E66027"/>
    <w:rsid w:val="00E67E7D"/>
    <w:rsid w:val="00E74234"/>
    <w:rsid w:val="00E74525"/>
    <w:rsid w:val="00E74C08"/>
    <w:rsid w:val="00E759D7"/>
    <w:rsid w:val="00E775EA"/>
    <w:rsid w:val="00E80362"/>
    <w:rsid w:val="00E81C82"/>
    <w:rsid w:val="00E82B53"/>
    <w:rsid w:val="00E82C41"/>
    <w:rsid w:val="00E83EA4"/>
    <w:rsid w:val="00E87ECF"/>
    <w:rsid w:val="00E91F4B"/>
    <w:rsid w:val="00E926FA"/>
    <w:rsid w:val="00E943E5"/>
    <w:rsid w:val="00E94A42"/>
    <w:rsid w:val="00E9585B"/>
    <w:rsid w:val="00E96D2C"/>
    <w:rsid w:val="00E97CD4"/>
    <w:rsid w:val="00EA256A"/>
    <w:rsid w:val="00EA27CD"/>
    <w:rsid w:val="00EA36F3"/>
    <w:rsid w:val="00EA3790"/>
    <w:rsid w:val="00EA41E9"/>
    <w:rsid w:val="00EA5E03"/>
    <w:rsid w:val="00EA616F"/>
    <w:rsid w:val="00EA64AA"/>
    <w:rsid w:val="00EA7181"/>
    <w:rsid w:val="00EB00CD"/>
    <w:rsid w:val="00EB03D7"/>
    <w:rsid w:val="00EB10CE"/>
    <w:rsid w:val="00EB1E4E"/>
    <w:rsid w:val="00EB2029"/>
    <w:rsid w:val="00EB24A2"/>
    <w:rsid w:val="00EB42C6"/>
    <w:rsid w:val="00EB5D7E"/>
    <w:rsid w:val="00EB7D48"/>
    <w:rsid w:val="00EC088D"/>
    <w:rsid w:val="00EC25A8"/>
    <w:rsid w:val="00EC34EA"/>
    <w:rsid w:val="00EC4C55"/>
    <w:rsid w:val="00EC6858"/>
    <w:rsid w:val="00EC6EA0"/>
    <w:rsid w:val="00ED00A7"/>
    <w:rsid w:val="00ED3B0D"/>
    <w:rsid w:val="00ED55BB"/>
    <w:rsid w:val="00ED5C4E"/>
    <w:rsid w:val="00ED5F7C"/>
    <w:rsid w:val="00ED6001"/>
    <w:rsid w:val="00EE087C"/>
    <w:rsid w:val="00EE1511"/>
    <w:rsid w:val="00EE1BF5"/>
    <w:rsid w:val="00EE1F4D"/>
    <w:rsid w:val="00EE38E9"/>
    <w:rsid w:val="00EE64A0"/>
    <w:rsid w:val="00EE717F"/>
    <w:rsid w:val="00EF02BF"/>
    <w:rsid w:val="00EF1A58"/>
    <w:rsid w:val="00EF2F73"/>
    <w:rsid w:val="00EF3144"/>
    <w:rsid w:val="00EF35AE"/>
    <w:rsid w:val="00EF6FC9"/>
    <w:rsid w:val="00EF750C"/>
    <w:rsid w:val="00F006A6"/>
    <w:rsid w:val="00F02F3F"/>
    <w:rsid w:val="00F046E6"/>
    <w:rsid w:val="00F0622E"/>
    <w:rsid w:val="00F07815"/>
    <w:rsid w:val="00F07D42"/>
    <w:rsid w:val="00F110C9"/>
    <w:rsid w:val="00F13124"/>
    <w:rsid w:val="00F134C8"/>
    <w:rsid w:val="00F139AD"/>
    <w:rsid w:val="00F155DB"/>
    <w:rsid w:val="00F16279"/>
    <w:rsid w:val="00F16533"/>
    <w:rsid w:val="00F16912"/>
    <w:rsid w:val="00F17B22"/>
    <w:rsid w:val="00F2028D"/>
    <w:rsid w:val="00F2084D"/>
    <w:rsid w:val="00F24872"/>
    <w:rsid w:val="00F24CF7"/>
    <w:rsid w:val="00F30072"/>
    <w:rsid w:val="00F32701"/>
    <w:rsid w:val="00F33217"/>
    <w:rsid w:val="00F3336D"/>
    <w:rsid w:val="00F33933"/>
    <w:rsid w:val="00F33996"/>
    <w:rsid w:val="00F33AA4"/>
    <w:rsid w:val="00F36D3F"/>
    <w:rsid w:val="00F37565"/>
    <w:rsid w:val="00F376F6"/>
    <w:rsid w:val="00F37D47"/>
    <w:rsid w:val="00F40AD2"/>
    <w:rsid w:val="00F41F88"/>
    <w:rsid w:val="00F42317"/>
    <w:rsid w:val="00F44A21"/>
    <w:rsid w:val="00F44F66"/>
    <w:rsid w:val="00F468F5"/>
    <w:rsid w:val="00F51B97"/>
    <w:rsid w:val="00F52189"/>
    <w:rsid w:val="00F529AB"/>
    <w:rsid w:val="00F5519A"/>
    <w:rsid w:val="00F55646"/>
    <w:rsid w:val="00F55A01"/>
    <w:rsid w:val="00F56DC3"/>
    <w:rsid w:val="00F609FD"/>
    <w:rsid w:val="00F612E4"/>
    <w:rsid w:val="00F62A33"/>
    <w:rsid w:val="00F62DAA"/>
    <w:rsid w:val="00F64622"/>
    <w:rsid w:val="00F64CA6"/>
    <w:rsid w:val="00F67B9A"/>
    <w:rsid w:val="00F74211"/>
    <w:rsid w:val="00F757F1"/>
    <w:rsid w:val="00F75B76"/>
    <w:rsid w:val="00F809EB"/>
    <w:rsid w:val="00F817D5"/>
    <w:rsid w:val="00F840F2"/>
    <w:rsid w:val="00F847A2"/>
    <w:rsid w:val="00F84C8D"/>
    <w:rsid w:val="00F8583B"/>
    <w:rsid w:val="00F9199C"/>
    <w:rsid w:val="00F9457C"/>
    <w:rsid w:val="00F9530B"/>
    <w:rsid w:val="00F97F0F"/>
    <w:rsid w:val="00FA0633"/>
    <w:rsid w:val="00FA343B"/>
    <w:rsid w:val="00FA5E02"/>
    <w:rsid w:val="00FA75AC"/>
    <w:rsid w:val="00FB057B"/>
    <w:rsid w:val="00FB1CA2"/>
    <w:rsid w:val="00FB2068"/>
    <w:rsid w:val="00FB2200"/>
    <w:rsid w:val="00FB2A97"/>
    <w:rsid w:val="00FB42EC"/>
    <w:rsid w:val="00FB444B"/>
    <w:rsid w:val="00FB50B7"/>
    <w:rsid w:val="00FB7F5C"/>
    <w:rsid w:val="00FB7FFB"/>
    <w:rsid w:val="00FC05C9"/>
    <w:rsid w:val="00FC0A87"/>
    <w:rsid w:val="00FC0C4B"/>
    <w:rsid w:val="00FC1100"/>
    <w:rsid w:val="00FC2752"/>
    <w:rsid w:val="00FC3A98"/>
    <w:rsid w:val="00FC4425"/>
    <w:rsid w:val="00FC4EF6"/>
    <w:rsid w:val="00FC52AA"/>
    <w:rsid w:val="00FC57C5"/>
    <w:rsid w:val="00FC59F9"/>
    <w:rsid w:val="00FC733E"/>
    <w:rsid w:val="00FC7370"/>
    <w:rsid w:val="00FC7A23"/>
    <w:rsid w:val="00FD259A"/>
    <w:rsid w:val="00FD63E5"/>
    <w:rsid w:val="00FD6720"/>
    <w:rsid w:val="00FD7C68"/>
    <w:rsid w:val="00FE0314"/>
    <w:rsid w:val="00FE14D5"/>
    <w:rsid w:val="00FE1523"/>
    <w:rsid w:val="00FE31FC"/>
    <w:rsid w:val="00FE49D9"/>
    <w:rsid w:val="00FE4EB7"/>
    <w:rsid w:val="00FE65E6"/>
    <w:rsid w:val="00FE6DD4"/>
    <w:rsid w:val="00FF2F07"/>
    <w:rsid w:val="00FF508F"/>
    <w:rsid w:val="00FF50AC"/>
    <w:rsid w:val="00FF6609"/>
    <w:rsid w:val="00FF715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593">
      <o:colormru v:ext="edit" colors="#d31145,#fffddf,#ffecd6"/>
    </o:shapedefaults>
    <o:shapelayout v:ext="edit">
      <o:idmap v:ext="edit" data="1"/>
    </o:shapelayout>
  </w:shapeDefaults>
  <w:decimalSymbol w:val="."/>
  <w:listSeparator w:val=","/>
  <w14:docId w14:val="2A33982A"/>
  <w15:docId w15:val="{CB3D9887-C899-4C24-A097-DE85F6B91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DE4B16"/>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uiPriority w:val="9"/>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uiPriority w:val="9"/>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uiPriority w:val="9"/>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5FB"/>
    <w:rPr>
      <w:rFonts w:eastAsia="Times New Roman" w:cs="Helvetica-Light"/>
      <w:b/>
      <w:bCs/>
      <w:sz w:val="40"/>
      <w:szCs w:val="28"/>
    </w:rPr>
  </w:style>
  <w:style w:type="character" w:customStyle="1" w:styleId="Heading2Char">
    <w:name w:val="Heading 2 Char"/>
    <w:basedOn w:val="DefaultParagraphFont"/>
    <w:link w:val="Heading2"/>
    <w:uiPriority w:val="9"/>
    <w:rsid w:val="002345FB"/>
    <w:rPr>
      <w:rFonts w:eastAsia="Times New Roman" w:cs="Helvetica-Light"/>
      <w:b/>
      <w:bCs/>
      <w:color w:val="000000"/>
      <w:sz w:val="32"/>
      <w:szCs w:val="26"/>
    </w:rPr>
  </w:style>
  <w:style w:type="character" w:customStyle="1" w:styleId="Heading3Char">
    <w:name w:val="Heading 3 Char"/>
    <w:basedOn w:val="DefaultParagraphFont"/>
    <w:link w:val="Heading3"/>
    <w:uiPriority w:val="9"/>
    <w:rsid w:val="002345FB"/>
    <w:rPr>
      <w:rFonts w:eastAsia="Times New Roman"/>
      <w:b/>
      <w:bCs/>
      <w:i/>
      <w:sz w:val="28"/>
      <w:szCs w:val="28"/>
      <w:lang w:eastAsia="en-US"/>
    </w:rPr>
  </w:style>
  <w:style w:type="character" w:customStyle="1" w:styleId="Heading4Char">
    <w:name w:val="Heading 4 Char"/>
    <w:basedOn w:val="DefaultParagraphFont"/>
    <w:link w:val="Heading4"/>
    <w:rsid w:val="002345FB"/>
    <w:rPr>
      <w:rFonts w:eastAsia="Times New Roman" w:cs="Arial"/>
      <w:b/>
      <w:bCs/>
      <w:sz w:val="22"/>
      <w:szCs w:val="22"/>
    </w:rPr>
  </w:style>
  <w:style w:type="character" w:customStyle="1" w:styleId="Heading5Char">
    <w:name w:val="Heading 5 Char"/>
    <w:basedOn w:val="DefaultParagraphFont"/>
    <w:link w:val="Heading5"/>
    <w:semiHidden/>
    <w:rsid w:val="0001341B"/>
    <w:rPr>
      <w:rFonts w:eastAsia="Times New Roman" w:cs="Arial"/>
      <w:b/>
      <w:bCs/>
      <w:i/>
      <w:iCs/>
      <w:sz w:val="26"/>
      <w:szCs w:val="26"/>
    </w:rPr>
  </w:style>
  <w:style w:type="character" w:customStyle="1" w:styleId="Heading6Char">
    <w:name w:val="Heading 6 Char"/>
    <w:basedOn w:val="DefaultParagraphFont"/>
    <w:link w:val="Heading6"/>
    <w:semiHidden/>
    <w:rsid w:val="0001341B"/>
    <w:rPr>
      <w:rFonts w:eastAsia="Times New Roman"/>
      <w:b/>
      <w:sz w:val="24"/>
      <w:szCs w:val="20"/>
      <w:shd w:val="pct10" w:color="auto" w:fill="auto"/>
    </w:rPr>
  </w:style>
  <w:style w:type="character" w:customStyle="1" w:styleId="Heading7Char">
    <w:name w:val="Heading 7 Char"/>
    <w:basedOn w:val="DefaultParagraphFont"/>
    <w:link w:val="Heading7"/>
    <w:semiHidden/>
    <w:rsid w:val="0001341B"/>
    <w:rPr>
      <w:rFonts w:eastAsia="Times New Roman"/>
      <w:b/>
      <w:sz w:val="24"/>
      <w:szCs w:val="20"/>
    </w:rPr>
  </w:style>
  <w:style w:type="character" w:customStyle="1" w:styleId="Heading8Char">
    <w:name w:val="Heading 8 Char"/>
    <w:basedOn w:val="DefaultParagraphFont"/>
    <w:link w:val="Heading8"/>
    <w:semiHidden/>
    <w:rsid w:val="0001341B"/>
    <w:rPr>
      <w:rFonts w:ascii="Times New Roman" w:eastAsia="Times New Roman" w:hAnsi="Times New Roman"/>
      <w:i/>
      <w:iCs/>
      <w:sz w:val="24"/>
      <w:szCs w:val="24"/>
    </w:rPr>
  </w:style>
  <w:style w:type="character" w:customStyle="1" w:styleId="Heading9Char">
    <w:name w:val="Heading 9 Char"/>
    <w:basedOn w:val="DefaultParagraphFont"/>
    <w:link w:val="Heading9"/>
    <w:semiHidden/>
    <w:rsid w:val="0001341B"/>
    <w:rPr>
      <w:rFonts w:eastAsia="Times New Roman"/>
      <w:b/>
      <w:i/>
      <w:snapToGrid w:val="0"/>
      <w:sz w:val="24"/>
      <w:szCs w:val="20"/>
      <w:lang w:eastAsia="en-US"/>
    </w:rPr>
  </w:style>
  <w:style w:type="paragraph" w:styleId="Header">
    <w:name w:val="header"/>
    <w:basedOn w:val="Normal"/>
    <w:link w:val="HeaderChar"/>
    <w:rsid w:val="00846AEA"/>
    <w:pPr>
      <w:tabs>
        <w:tab w:val="center" w:pos="4320"/>
        <w:tab w:val="right" w:pos="8640"/>
      </w:tabs>
      <w:spacing w:after="0"/>
    </w:pPr>
    <w:rPr>
      <w:color w:val="FFFFFF"/>
      <w:sz w:val="22"/>
      <w:szCs w:val="22"/>
    </w:rPr>
  </w:style>
  <w:style w:type="character" w:customStyle="1" w:styleId="HeaderChar">
    <w:name w:val="Header Char"/>
    <w:basedOn w:val="DefaultParagraphFont"/>
    <w:link w:val="Header"/>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basedOn w:val="DefaultParagraphFont"/>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basedOn w:val="DefaultParagraphFont"/>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basedOn w:val="DefaultParagraphFont"/>
    <w:link w:val="BodyText2"/>
    <w:semiHidden/>
    <w:rsid w:val="0001341B"/>
    <w:rPr>
      <w:rFonts w:eastAsia="Calibri" w:cs="Helvetica-Light"/>
      <w:color w:val="000000"/>
      <w:sz w:val="24"/>
      <w:szCs w:val="24"/>
      <w:lang w:eastAsia="en-US"/>
    </w:rPr>
  </w:style>
  <w:style w:type="character" w:styleId="PageNumber">
    <w:name w:val="page number"/>
    <w:basedOn w:val="DefaultParagraphFont"/>
    <w:uiPriority w:val="2"/>
    <w:rsid w:val="000701AB"/>
    <w:rPr>
      <w:rFonts w:cs="Times New Roman"/>
    </w:rPr>
  </w:style>
  <w:style w:type="table" w:styleId="TableGrid">
    <w:name w:val="Table Grid"/>
    <w:basedOn w:val="TableNormal"/>
    <w:uiPriority w:val="3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99"/>
    <w:rsid w:val="00EA41E9"/>
    <w:pPr>
      <w:spacing w:after="0"/>
    </w:pPr>
    <w:rPr>
      <w:sz w:val="20"/>
      <w:szCs w:val="20"/>
    </w:rPr>
  </w:style>
  <w:style w:type="character" w:customStyle="1" w:styleId="FootnoteTextChar">
    <w:name w:val="Footnote Text Char"/>
    <w:basedOn w:val="DefaultParagraphFont"/>
    <w:link w:val="FootnoteText"/>
    <w:uiPriority w:val="99"/>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basedOn w:val="DefaultParagraphFont"/>
    <w:uiPriority w:val="99"/>
    <w:unhideWhenUsed/>
    <w:rsid w:val="006C4F7E"/>
    <w:rPr>
      <w:rFonts w:cs="Arial"/>
      <w:color w:val="0000FF"/>
      <w:u w:val="single"/>
    </w:rPr>
  </w:style>
  <w:style w:type="paragraph" w:styleId="TOC4">
    <w:name w:val="toc 4"/>
    <w:basedOn w:val="Normal"/>
    <w:next w:val="Normal"/>
    <w:autoRedefine/>
    <w:uiPriority w:val="39"/>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basedOn w:val="Heading2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basedOn w:val="DefaultParagraphFont"/>
    <w:uiPriority w:val="99"/>
    <w:rsid w:val="00AB4059"/>
    <w:rPr>
      <w:vertAlign w:val="superscript"/>
    </w:rPr>
  </w:style>
  <w:style w:type="character" w:styleId="FollowedHyperlink">
    <w:name w:val="FollowedHyperlink"/>
    <w:basedOn w:val="DefaultParagraphFont"/>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basedOn w:val="DefaultParagraphFont"/>
    <w:link w:val="BodyTextIndent"/>
    <w:rsid w:val="009028CB"/>
    <w:rPr>
      <w:rFonts w:eastAsia="Times New Roman"/>
      <w:sz w:val="24"/>
      <w:szCs w:val="20"/>
    </w:rPr>
  </w:style>
  <w:style w:type="character" w:customStyle="1" w:styleId="CommentTextChar">
    <w:name w:val="Comment Text Char"/>
    <w:basedOn w:val="DefaultParagraphFont"/>
    <w:link w:val="CommentText"/>
    <w:rsid w:val="002345FB"/>
    <w:rPr>
      <w:rFonts w:eastAsia="Times New Roman" w:cs="Arial"/>
      <w:sz w:val="20"/>
      <w:szCs w:val="20"/>
    </w:rPr>
  </w:style>
  <w:style w:type="paragraph" w:styleId="CommentText">
    <w:name w:val="annotation text"/>
    <w:basedOn w:val="Normal"/>
    <w:link w:val="CommentTextChar"/>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basedOn w:val="DefaultParagraphFont"/>
    <w:uiPriority w:val="99"/>
    <w:semiHidden/>
    <w:rsid w:val="00AB4059"/>
    <w:rPr>
      <w:rFonts w:ascii="Arial" w:eastAsia="Calibri" w:hAnsi="Arial" w:cs="Helvetica-Light"/>
      <w:color w:val="000000"/>
      <w:lang w:eastAsia="en-US"/>
    </w:rPr>
  </w:style>
  <w:style w:type="character" w:customStyle="1" w:styleId="CommentSubjectChar1">
    <w:name w:val="Comment Subject Char1"/>
    <w:basedOn w:val="CommentText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basedOn w:val="DefaultParagraphFont"/>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basedOn w:val="BodyTextIndent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basedOn w:val="DefaultParagraphFont"/>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basedOn w:val="DefaultParagraphFont"/>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basedOn w:val="DefaultParagraphFont"/>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basedOn w:val="DefaultParagraphFont"/>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unhideWhenUsed/>
    <w:rsid w:val="00AB4059"/>
    <w:pPr>
      <w:ind w:left="960"/>
    </w:pPr>
  </w:style>
  <w:style w:type="paragraph" w:styleId="TOC6">
    <w:name w:val="toc 6"/>
    <w:basedOn w:val="Normal"/>
    <w:next w:val="Normal"/>
    <w:autoRedefine/>
    <w:uiPriority w:val="39"/>
    <w:unhideWhenUsed/>
    <w:rsid w:val="00AB4059"/>
    <w:pPr>
      <w:ind w:left="1200"/>
    </w:pPr>
  </w:style>
  <w:style w:type="paragraph" w:styleId="TOC7">
    <w:name w:val="toc 7"/>
    <w:basedOn w:val="Normal"/>
    <w:next w:val="Normal"/>
    <w:autoRedefine/>
    <w:uiPriority w:val="39"/>
    <w:unhideWhenUsed/>
    <w:rsid w:val="00AB4059"/>
    <w:pPr>
      <w:ind w:left="1440"/>
    </w:pPr>
  </w:style>
  <w:style w:type="paragraph" w:styleId="TOC8">
    <w:name w:val="toc 8"/>
    <w:basedOn w:val="Normal"/>
    <w:next w:val="Normal"/>
    <w:autoRedefine/>
    <w:uiPriority w:val="39"/>
    <w:unhideWhenUsed/>
    <w:rsid w:val="00AB4059"/>
    <w:pPr>
      <w:ind w:left="1680"/>
    </w:pPr>
  </w:style>
  <w:style w:type="paragraph" w:styleId="TOC9">
    <w:name w:val="toc 9"/>
    <w:basedOn w:val="Normal"/>
    <w:next w:val="Normal"/>
    <w:autoRedefine/>
    <w:uiPriority w:val="39"/>
    <w:unhideWhenUsed/>
    <w:rsid w:val="00AB4059"/>
    <w:pPr>
      <w:ind w:left="1920"/>
    </w:pPr>
  </w:style>
  <w:style w:type="character" w:styleId="EndnoteReference">
    <w:name w:val="endnote reference"/>
    <w:basedOn w:val="DefaultParagraphFont"/>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basedOn w:val="DefaultParagraphFont"/>
    <w:link w:val="BodyText"/>
    <w:rsid w:val="009028CB"/>
    <w:rPr>
      <w:rFonts w:eastAsia="Times New Roman" w:cs="Helvetica-Light"/>
      <w:sz w:val="24"/>
      <w:szCs w:val="24"/>
    </w:rPr>
  </w:style>
  <w:style w:type="paragraph" w:styleId="TOCHeading">
    <w:name w:val="TOC Heading"/>
    <w:basedOn w:val="Heading1"/>
    <w:next w:val="Normal"/>
    <w:uiPriority w:val="39"/>
    <w:unhideWhenUsed/>
    <w:qFormat/>
    <w:rsid w:val="00594228"/>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BTLSnormal">
    <w:name w:val="BTLS normal"/>
    <w:basedOn w:val="Normal"/>
    <w:link w:val="BTLSnormalChar"/>
    <w:qFormat/>
    <w:rsid w:val="00EB1E4E"/>
    <w:pPr>
      <w:tabs>
        <w:tab w:val="left" w:pos="9540"/>
        <w:tab w:val="left" w:pos="9720"/>
      </w:tabs>
      <w:autoSpaceDE/>
      <w:autoSpaceDN/>
      <w:adjustRightInd/>
      <w:spacing w:line="276" w:lineRule="auto"/>
    </w:pPr>
    <w:rPr>
      <w:rFonts w:ascii="Calibri" w:hAnsi="Calibri" w:cs="Times New Roman"/>
      <w:color w:val="auto"/>
      <w:szCs w:val="22"/>
      <w:lang w:eastAsia="en-GB"/>
    </w:rPr>
  </w:style>
  <w:style w:type="character" w:customStyle="1" w:styleId="BTLSnormalChar">
    <w:name w:val="BTLS normal Char"/>
    <w:link w:val="BTLSnormal"/>
    <w:rsid w:val="00EB1E4E"/>
    <w:rPr>
      <w:rFonts w:ascii="Calibri" w:eastAsia="Calibri" w:hAnsi="Calibri"/>
      <w:sz w:val="24"/>
      <w:szCs w:val="22"/>
    </w:rPr>
  </w:style>
  <w:style w:type="paragraph" w:styleId="NormalWeb">
    <w:name w:val="Normal (Web)"/>
    <w:basedOn w:val="Normal"/>
    <w:uiPriority w:val="99"/>
    <w:unhideWhenUsed/>
    <w:rsid w:val="000A3809"/>
    <w:pPr>
      <w:autoSpaceDE/>
      <w:autoSpaceDN/>
      <w:adjustRightInd/>
      <w:spacing w:before="100" w:beforeAutospacing="1" w:after="240"/>
      <w:jc w:val="left"/>
    </w:pPr>
    <w:rPr>
      <w:rFonts w:ascii="Times New Roman" w:eastAsiaTheme="minorHAnsi" w:hAnsi="Times New Roman" w:cs="Times New Roman"/>
      <w:color w:val="auto"/>
      <w:lang w:eastAsia="en-GB"/>
    </w:rPr>
  </w:style>
  <w:style w:type="character" w:styleId="CommentReference">
    <w:name w:val="annotation reference"/>
    <w:basedOn w:val="DefaultParagraphFont"/>
    <w:rsid w:val="0054686B"/>
    <w:rPr>
      <w:sz w:val="16"/>
      <w:szCs w:val="16"/>
    </w:rPr>
  </w:style>
  <w:style w:type="paragraph" w:styleId="CommentSubject">
    <w:name w:val="annotation subject"/>
    <w:basedOn w:val="CommentText"/>
    <w:next w:val="CommentText"/>
    <w:link w:val="CommentSubjectChar"/>
    <w:semiHidden/>
    <w:unhideWhenUsed/>
    <w:rsid w:val="0054686B"/>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semiHidden/>
    <w:rsid w:val="0054686B"/>
    <w:rPr>
      <w:rFonts w:eastAsia="Calibri" w:cs="Helvetica-Light"/>
      <w:b/>
      <w:bCs/>
      <w:color w:val="000000"/>
      <w:sz w:val="20"/>
      <w:szCs w:val="20"/>
      <w:lang w:eastAsia="en-US"/>
    </w:rPr>
  </w:style>
  <w:style w:type="paragraph" w:styleId="BalloonText">
    <w:name w:val="Balloon Text"/>
    <w:basedOn w:val="Normal"/>
    <w:link w:val="BalloonTextChar"/>
    <w:semiHidden/>
    <w:unhideWhenUsed/>
    <w:rsid w:val="0054686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4686B"/>
    <w:rPr>
      <w:rFonts w:ascii="Segoe UI" w:eastAsia="Calibri" w:hAnsi="Segoe UI" w:cs="Segoe UI"/>
      <w:color w:val="000000"/>
      <w:sz w:val="18"/>
      <w:szCs w:val="18"/>
      <w:lang w:eastAsia="en-US"/>
    </w:rPr>
  </w:style>
  <w:style w:type="paragraph" w:customStyle="1" w:styleId="Default">
    <w:name w:val="Default"/>
    <w:rsid w:val="0037393E"/>
    <w:pPr>
      <w:autoSpaceDE w:val="0"/>
      <w:autoSpaceDN w:val="0"/>
      <w:adjustRightInd w:val="0"/>
    </w:pPr>
    <w:rPr>
      <w:rFonts w:eastAsiaTheme="minorHAnsi" w:cs="Arial"/>
      <w:color w:val="000000"/>
      <w:sz w:val="24"/>
      <w:szCs w:val="24"/>
      <w:lang w:eastAsia="en-US"/>
    </w:rPr>
  </w:style>
  <w:style w:type="character" w:customStyle="1" w:styleId="legds2">
    <w:name w:val="legds2"/>
    <w:basedOn w:val="DefaultParagraphFont"/>
    <w:rsid w:val="0037393E"/>
    <w:rPr>
      <w:vanish w:val="0"/>
      <w:webHidden w:val="0"/>
      <w:specVanish w:val="0"/>
    </w:rPr>
  </w:style>
  <w:style w:type="character" w:customStyle="1" w:styleId="legextentrestriction7">
    <w:name w:val="legextentrestriction7"/>
    <w:basedOn w:val="DefaultParagraphFont"/>
    <w:rsid w:val="0037393E"/>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37393E"/>
    <w:pPr>
      <w:shd w:val="clear" w:color="auto" w:fill="FFFFFF"/>
      <w:autoSpaceDE/>
      <w:autoSpaceDN/>
      <w:adjustRightInd/>
      <w:spacing w:line="360" w:lineRule="atLeast"/>
      <w:jc w:val="left"/>
    </w:pPr>
    <w:rPr>
      <w:rFonts w:ascii="Times New Roman" w:eastAsia="Times New Roman" w:hAnsi="Times New Roman" w:cs="Times New Roman"/>
      <w:sz w:val="19"/>
      <w:szCs w:val="19"/>
      <w:lang w:eastAsia="en-GB"/>
    </w:rPr>
  </w:style>
  <w:style w:type="character" w:customStyle="1" w:styleId="legchangedelimiter2">
    <w:name w:val="legchangedelimiter2"/>
    <w:basedOn w:val="DefaultParagraphFont"/>
    <w:rsid w:val="0037393E"/>
    <w:rPr>
      <w:b/>
      <w:bCs/>
      <w:i w:val="0"/>
      <w:iCs w:val="0"/>
      <w:color w:val="000000"/>
      <w:sz w:val="34"/>
      <w:szCs w:val="34"/>
    </w:rPr>
  </w:style>
  <w:style w:type="character" w:customStyle="1" w:styleId="legaddition5">
    <w:name w:val="legaddition5"/>
    <w:basedOn w:val="DefaultParagraphFont"/>
    <w:rsid w:val="0037393E"/>
  </w:style>
  <w:style w:type="character" w:styleId="Strong">
    <w:name w:val="Strong"/>
    <w:basedOn w:val="DefaultParagraphFont"/>
    <w:uiPriority w:val="22"/>
    <w:qFormat/>
    <w:rsid w:val="0037393E"/>
    <w:rPr>
      <w:b/>
      <w:bCs/>
    </w:rPr>
  </w:style>
  <w:style w:type="paragraph" w:styleId="NoSpacing">
    <w:name w:val="No Spacing"/>
    <w:uiPriority w:val="1"/>
    <w:qFormat/>
    <w:rsid w:val="00EB00CD"/>
    <w:rPr>
      <w:rFonts w:eastAsiaTheme="minorHAnsi" w:cstheme="minorBidi"/>
      <w:sz w:val="24"/>
      <w:szCs w:val="22"/>
      <w:lang w:eastAsia="en-US"/>
    </w:rPr>
  </w:style>
  <w:style w:type="paragraph" w:customStyle="1" w:styleId="Body1">
    <w:name w:val="Body 1"/>
    <w:rsid w:val="00EB00CD"/>
    <w:pPr>
      <w:spacing w:after="200" w:line="276" w:lineRule="auto"/>
      <w:outlineLvl w:val="0"/>
    </w:pPr>
    <w:rPr>
      <w:rFonts w:eastAsia="Arial Unicode MS"/>
      <w:color w:val="000000"/>
      <w:sz w:val="24"/>
      <w:u w:color="000000"/>
    </w:rPr>
  </w:style>
  <w:style w:type="paragraph" w:customStyle="1" w:styleId="ImportWordListStyleDefinition30">
    <w:name w:val="Import Word List Style Definition 30"/>
    <w:rsid w:val="00EB00CD"/>
    <w:pPr>
      <w:numPr>
        <w:numId w:val="5"/>
      </w:numPr>
    </w:pPr>
    <w:rPr>
      <w:rFonts w:ascii="Times New Roman" w:eastAsia="Times New Roman" w:hAnsi="Times New Roman"/>
    </w:rPr>
  </w:style>
  <w:style w:type="paragraph" w:customStyle="1" w:styleId="ImportWordListStyleDefinition19">
    <w:name w:val="Import Word List Style Definition 19"/>
    <w:rsid w:val="00EB00CD"/>
    <w:pPr>
      <w:numPr>
        <w:numId w:val="6"/>
      </w:numPr>
    </w:pPr>
    <w:rPr>
      <w:rFonts w:ascii="Times New Roman" w:eastAsia="Times New Roman" w:hAnsi="Times New Roman"/>
    </w:rPr>
  </w:style>
  <w:style w:type="paragraph" w:customStyle="1" w:styleId="ImportWordListStyleDefinition1">
    <w:name w:val="Import Word List Style Definition 1"/>
    <w:rsid w:val="00EB00CD"/>
    <w:pPr>
      <w:numPr>
        <w:numId w:val="7"/>
      </w:numPr>
    </w:pPr>
    <w:rPr>
      <w:rFonts w:ascii="Times New Roman" w:eastAsia="Times New Roman" w:hAnsi="Times New Roman"/>
    </w:rPr>
  </w:style>
  <w:style w:type="paragraph" w:customStyle="1" w:styleId="List1">
    <w:name w:val="List 1"/>
    <w:basedOn w:val="ImportWordListStyleDefinition1"/>
    <w:semiHidden/>
    <w:rsid w:val="00EB00CD"/>
    <w:pPr>
      <w:numPr>
        <w:numId w:val="8"/>
      </w:numPr>
    </w:pPr>
  </w:style>
  <w:style w:type="paragraph" w:customStyle="1" w:styleId="ImportWordListStyleDefinition13">
    <w:name w:val="Import Word List Style Definition 13"/>
    <w:rsid w:val="00EB00CD"/>
    <w:pPr>
      <w:numPr>
        <w:numId w:val="9"/>
      </w:numPr>
    </w:pPr>
    <w:rPr>
      <w:rFonts w:ascii="Times New Roman" w:eastAsia="Times New Roman" w:hAnsi="Times New Roman"/>
    </w:rPr>
  </w:style>
  <w:style w:type="paragraph" w:customStyle="1" w:styleId="ImportWordListStyleDefinition25">
    <w:name w:val="Import Word List Style Definition 25"/>
    <w:rsid w:val="00EB00CD"/>
    <w:pPr>
      <w:numPr>
        <w:numId w:val="10"/>
      </w:numPr>
    </w:pPr>
    <w:rPr>
      <w:rFonts w:ascii="Times New Roman" w:eastAsia="Times New Roman" w:hAnsi="Times New Roman"/>
    </w:rPr>
  </w:style>
  <w:style w:type="paragraph" w:customStyle="1" w:styleId="ImportWordListStyleDefinition17">
    <w:name w:val="Import Word List Style Definition 17"/>
    <w:rsid w:val="00EB00CD"/>
    <w:pPr>
      <w:numPr>
        <w:numId w:val="11"/>
      </w:numPr>
    </w:pPr>
    <w:rPr>
      <w:rFonts w:ascii="Times New Roman" w:eastAsia="Times New Roman" w:hAnsi="Times New Roman"/>
    </w:rPr>
  </w:style>
  <w:style w:type="paragraph" w:customStyle="1" w:styleId="ImportWordListStyleDefinition5">
    <w:name w:val="Import Word List Style Definition 5"/>
    <w:rsid w:val="00EB00CD"/>
    <w:pPr>
      <w:numPr>
        <w:numId w:val="12"/>
      </w:numPr>
    </w:pPr>
    <w:rPr>
      <w:rFonts w:ascii="Times New Roman" w:eastAsia="Times New Roman" w:hAnsi="Times New Roman"/>
    </w:rPr>
  </w:style>
  <w:style w:type="paragraph" w:customStyle="1" w:styleId="body10">
    <w:name w:val="body1"/>
    <w:basedOn w:val="Normal"/>
    <w:rsid w:val="00EB00CD"/>
    <w:pPr>
      <w:autoSpaceDE/>
      <w:autoSpaceDN/>
      <w:adjustRightInd/>
      <w:spacing w:after="200" w:line="276" w:lineRule="auto"/>
      <w:jc w:val="left"/>
    </w:pPr>
    <w:rPr>
      <w:rFonts w:eastAsiaTheme="minorHAnsi" w:cs="Arial"/>
      <w:lang w:eastAsia="en-GB"/>
    </w:rPr>
  </w:style>
  <w:style w:type="paragraph" w:customStyle="1" w:styleId="Body">
    <w:name w:val="Body"/>
    <w:rsid w:val="00EB00CD"/>
    <w:pPr>
      <w:spacing w:after="200" w:line="276" w:lineRule="auto"/>
    </w:pPr>
    <w:rPr>
      <w:rFonts w:eastAsia="Arial Unicode MS" w:hAnsi="Arial Unicode MS" w:cs="Arial Unicode MS"/>
      <w:color w:val="000000"/>
      <w:sz w:val="24"/>
      <w:szCs w:val="24"/>
      <w:u w:color="000000"/>
      <w:lang w:val="fr-FR"/>
    </w:rPr>
  </w:style>
  <w:style w:type="table" w:customStyle="1" w:styleId="TableGrid1">
    <w:name w:val="Table Grid1"/>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1">
    <w:name w:val="List 21"/>
    <w:basedOn w:val="ImportWordListStyleDefinition17"/>
    <w:semiHidden/>
    <w:rsid w:val="00EB00CD"/>
    <w:pPr>
      <w:numPr>
        <w:numId w:val="13"/>
      </w:numPr>
    </w:pPr>
  </w:style>
  <w:style w:type="paragraph" w:customStyle="1" w:styleId="List0">
    <w:name w:val="List 0"/>
    <w:basedOn w:val="ImportWordListStyleDefinition1"/>
    <w:semiHidden/>
    <w:rsid w:val="00EB00CD"/>
    <w:pPr>
      <w:numPr>
        <w:numId w:val="14"/>
      </w:numPr>
      <w:ind w:left="720" w:hanging="360"/>
    </w:pPr>
  </w:style>
  <w:style w:type="paragraph" w:styleId="BlockText">
    <w:name w:val="Block Text"/>
    <w:basedOn w:val="Normal"/>
    <w:semiHidden/>
    <w:unhideWhenUsed/>
    <w:rsid w:val="00B1367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B13675"/>
    <w:rPr>
      <w:sz w:val="16"/>
      <w:szCs w:val="16"/>
    </w:rPr>
  </w:style>
  <w:style w:type="character" w:customStyle="1" w:styleId="BodyText3Char">
    <w:name w:val="Body Text 3 Char"/>
    <w:basedOn w:val="DefaultParagraphFont"/>
    <w:link w:val="BodyText3"/>
    <w:semiHidden/>
    <w:rsid w:val="00B13675"/>
    <w:rPr>
      <w:rFonts w:eastAsia="Calibri" w:cs="Helvetica-Light"/>
      <w:color w:val="000000"/>
      <w:sz w:val="16"/>
      <w:szCs w:val="16"/>
      <w:lang w:eastAsia="en-US"/>
    </w:rPr>
  </w:style>
  <w:style w:type="paragraph" w:styleId="BodyTextIndent2">
    <w:name w:val="Body Text Indent 2"/>
    <w:basedOn w:val="Normal"/>
    <w:link w:val="BodyTextIndent2Char"/>
    <w:semiHidden/>
    <w:unhideWhenUsed/>
    <w:rsid w:val="00B13675"/>
    <w:pPr>
      <w:spacing w:line="480" w:lineRule="auto"/>
      <w:ind w:left="283"/>
    </w:pPr>
  </w:style>
  <w:style w:type="character" w:customStyle="1" w:styleId="BodyTextIndent2Char">
    <w:name w:val="Body Text Indent 2 Char"/>
    <w:basedOn w:val="DefaultParagraphFont"/>
    <w:link w:val="BodyTextIndent2"/>
    <w:semiHidden/>
    <w:rsid w:val="00B13675"/>
    <w:rPr>
      <w:rFonts w:eastAsia="Calibri" w:cs="Helvetica-Light"/>
      <w:color w:val="000000"/>
      <w:sz w:val="24"/>
      <w:szCs w:val="24"/>
      <w:lang w:eastAsia="en-US"/>
    </w:rPr>
  </w:style>
  <w:style w:type="paragraph" w:styleId="BodyTextIndent3">
    <w:name w:val="Body Text Indent 3"/>
    <w:basedOn w:val="Normal"/>
    <w:link w:val="BodyTextIndent3Char"/>
    <w:semiHidden/>
    <w:unhideWhenUsed/>
    <w:rsid w:val="00B13675"/>
    <w:pPr>
      <w:ind w:left="283"/>
    </w:pPr>
    <w:rPr>
      <w:sz w:val="16"/>
      <w:szCs w:val="16"/>
    </w:rPr>
  </w:style>
  <w:style w:type="character" w:customStyle="1" w:styleId="BodyTextIndent3Char">
    <w:name w:val="Body Text Indent 3 Char"/>
    <w:basedOn w:val="DefaultParagraphFont"/>
    <w:link w:val="BodyTextIndent3"/>
    <w:semiHidden/>
    <w:rsid w:val="00B13675"/>
    <w:rPr>
      <w:rFonts w:eastAsia="Calibri" w:cs="Helvetica-Light"/>
      <w:color w:val="000000"/>
      <w:sz w:val="16"/>
      <w:szCs w:val="16"/>
      <w:lang w:eastAsia="en-US"/>
    </w:rPr>
  </w:style>
  <w:style w:type="paragraph" w:styleId="DocumentMap">
    <w:name w:val="Document Map"/>
    <w:basedOn w:val="Normal"/>
    <w:link w:val="DocumentMapChar"/>
    <w:semiHidden/>
    <w:unhideWhenUsed/>
    <w:rsid w:val="00B13675"/>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B13675"/>
    <w:rPr>
      <w:rFonts w:ascii="Segoe UI" w:eastAsia="Calibri" w:hAnsi="Segoe UI" w:cs="Segoe UI"/>
      <w:color w:val="000000"/>
      <w:sz w:val="16"/>
      <w:szCs w:val="16"/>
      <w:lang w:eastAsia="en-US"/>
    </w:rPr>
  </w:style>
  <w:style w:type="paragraph" w:styleId="E-mailSignature">
    <w:name w:val="E-mail Signature"/>
    <w:basedOn w:val="Normal"/>
    <w:link w:val="E-mailSignatureChar"/>
    <w:uiPriority w:val="99"/>
    <w:semiHidden/>
    <w:unhideWhenUsed/>
    <w:rsid w:val="00B13675"/>
    <w:pPr>
      <w:spacing w:after="0"/>
    </w:pPr>
  </w:style>
  <w:style w:type="character" w:customStyle="1" w:styleId="E-mailSignatureChar">
    <w:name w:val="E-mail Signature Char"/>
    <w:basedOn w:val="DefaultParagraphFont"/>
    <w:link w:val="E-mailSignature"/>
    <w:uiPriority w:val="99"/>
    <w:semiHidden/>
    <w:rsid w:val="00B13675"/>
    <w:rPr>
      <w:rFonts w:eastAsia="Calibri" w:cs="Helvetica-Light"/>
      <w:color w:val="000000"/>
      <w:sz w:val="24"/>
      <w:szCs w:val="24"/>
      <w:lang w:eastAsia="en-US"/>
    </w:rPr>
  </w:style>
  <w:style w:type="paragraph" w:styleId="EnvelopeAddress">
    <w:name w:val="envelope address"/>
    <w:basedOn w:val="Normal"/>
    <w:uiPriority w:val="99"/>
    <w:semiHidden/>
    <w:unhideWhenUsed/>
    <w:rsid w:val="00B13675"/>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13675"/>
    <w:pPr>
      <w:spacing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B13675"/>
    <w:pPr>
      <w:spacing w:after="0"/>
    </w:pPr>
    <w:rPr>
      <w:i/>
      <w:iCs/>
    </w:rPr>
  </w:style>
  <w:style w:type="character" w:customStyle="1" w:styleId="HTMLAddressChar">
    <w:name w:val="HTML Address Char"/>
    <w:basedOn w:val="DefaultParagraphFont"/>
    <w:link w:val="HTMLAddress"/>
    <w:uiPriority w:val="99"/>
    <w:semiHidden/>
    <w:rsid w:val="00B13675"/>
    <w:rPr>
      <w:rFonts w:eastAsia="Calibri" w:cs="Helvetica-Light"/>
      <w:i/>
      <w:iCs/>
      <w:color w:val="000000"/>
      <w:sz w:val="24"/>
      <w:szCs w:val="24"/>
      <w:lang w:eastAsia="en-US"/>
    </w:rPr>
  </w:style>
  <w:style w:type="paragraph" w:styleId="Index1">
    <w:name w:val="index 1"/>
    <w:basedOn w:val="Normal"/>
    <w:next w:val="Normal"/>
    <w:autoRedefine/>
    <w:uiPriority w:val="99"/>
    <w:semiHidden/>
    <w:unhideWhenUsed/>
    <w:rsid w:val="00B13675"/>
    <w:pPr>
      <w:spacing w:after="0"/>
      <w:ind w:left="240" w:hanging="240"/>
    </w:pPr>
  </w:style>
  <w:style w:type="paragraph" w:styleId="Index2">
    <w:name w:val="index 2"/>
    <w:basedOn w:val="Normal"/>
    <w:next w:val="Normal"/>
    <w:autoRedefine/>
    <w:uiPriority w:val="99"/>
    <w:semiHidden/>
    <w:unhideWhenUsed/>
    <w:rsid w:val="00B13675"/>
    <w:pPr>
      <w:spacing w:after="0"/>
      <w:ind w:left="480" w:hanging="240"/>
    </w:pPr>
  </w:style>
  <w:style w:type="paragraph" w:styleId="Index3">
    <w:name w:val="index 3"/>
    <w:basedOn w:val="Normal"/>
    <w:next w:val="Normal"/>
    <w:autoRedefine/>
    <w:uiPriority w:val="99"/>
    <w:semiHidden/>
    <w:unhideWhenUsed/>
    <w:rsid w:val="00B13675"/>
    <w:pPr>
      <w:spacing w:after="0"/>
      <w:ind w:left="720" w:hanging="240"/>
    </w:pPr>
  </w:style>
  <w:style w:type="paragraph" w:styleId="Index4">
    <w:name w:val="index 4"/>
    <w:basedOn w:val="Normal"/>
    <w:next w:val="Normal"/>
    <w:autoRedefine/>
    <w:uiPriority w:val="99"/>
    <w:semiHidden/>
    <w:unhideWhenUsed/>
    <w:rsid w:val="00B13675"/>
    <w:pPr>
      <w:spacing w:after="0"/>
      <w:ind w:left="960" w:hanging="240"/>
    </w:pPr>
  </w:style>
  <w:style w:type="paragraph" w:styleId="Index5">
    <w:name w:val="index 5"/>
    <w:basedOn w:val="Normal"/>
    <w:next w:val="Normal"/>
    <w:autoRedefine/>
    <w:uiPriority w:val="99"/>
    <w:semiHidden/>
    <w:unhideWhenUsed/>
    <w:rsid w:val="00B13675"/>
    <w:pPr>
      <w:spacing w:after="0"/>
      <w:ind w:left="1200" w:hanging="240"/>
    </w:pPr>
  </w:style>
  <w:style w:type="paragraph" w:styleId="Index6">
    <w:name w:val="index 6"/>
    <w:basedOn w:val="Normal"/>
    <w:next w:val="Normal"/>
    <w:autoRedefine/>
    <w:uiPriority w:val="99"/>
    <w:semiHidden/>
    <w:unhideWhenUsed/>
    <w:rsid w:val="00B13675"/>
    <w:pPr>
      <w:spacing w:after="0"/>
      <w:ind w:left="1440" w:hanging="240"/>
    </w:pPr>
  </w:style>
  <w:style w:type="paragraph" w:styleId="IntenseQuote">
    <w:name w:val="Intense Quote"/>
    <w:basedOn w:val="Normal"/>
    <w:next w:val="Normal"/>
    <w:link w:val="IntenseQuoteChar"/>
    <w:uiPriority w:val="30"/>
    <w:qFormat/>
    <w:rsid w:val="00B1367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13675"/>
    <w:rPr>
      <w:rFonts w:eastAsia="Calibri" w:cs="Helvetica-Light"/>
      <w:i/>
      <w:iCs/>
      <w:color w:val="4F81BD" w:themeColor="accent1"/>
      <w:sz w:val="24"/>
      <w:szCs w:val="24"/>
      <w:lang w:eastAsia="en-US"/>
    </w:rPr>
  </w:style>
  <w:style w:type="paragraph" w:styleId="List">
    <w:name w:val="List"/>
    <w:basedOn w:val="Normal"/>
    <w:uiPriority w:val="99"/>
    <w:semiHidden/>
    <w:unhideWhenUsed/>
    <w:rsid w:val="00B13675"/>
    <w:pPr>
      <w:ind w:left="283" w:hanging="283"/>
      <w:contextualSpacing/>
    </w:pPr>
  </w:style>
  <w:style w:type="paragraph" w:styleId="List2">
    <w:name w:val="List 2"/>
    <w:basedOn w:val="Normal"/>
    <w:uiPriority w:val="99"/>
    <w:semiHidden/>
    <w:unhideWhenUsed/>
    <w:rsid w:val="00B13675"/>
    <w:pPr>
      <w:ind w:left="566" w:hanging="283"/>
      <w:contextualSpacing/>
    </w:pPr>
  </w:style>
  <w:style w:type="paragraph" w:styleId="List3">
    <w:name w:val="List 3"/>
    <w:basedOn w:val="Normal"/>
    <w:uiPriority w:val="99"/>
    <w:semiHidden/>
    <w:unhideWhenUsed/>
    <w:rsid w:val="00B13675"/>
    <w:pPr>
      <w:ind w:left="849" w:hanging="283"/>
      <w:contextualSpacing/>
    </w:pPr>
  </w:style>
  <w:style w:type="paragraph" w:styleId="List4">
    <w:name w:val="List 4"/>
    <w:basedOn w:val="Normal"/>
    <w:uiPriority w:val="99"/>
    <w:semiHidden/>
    <w:unhideWhenUsed/>
    <w:rsid w:val="00B13675"/>
    <w:pPr>
      <w:ind w:left="1132" w:hanging="283"/>
      <w:contextualSpacing/>
    </w:pPr>
  </w:style>
  <w:style w:type="paragraph" w:styleId="List5">
    <w:name w:val="List 5"/>
    <w:basedOn w:val="Normal"/>
    <w:uiPriority w:val="99"/>
    <w:semiHidden/>
    <w:unhideWhenUsed/>
    <w:rsid w:val="00B13675"/>
    <w:pPr>
      <w:ind w:left="1415" w:hanging="283"/>
      <w:contextualSpacing/>
    </w:pPr>
  </w:style>
  <w:style w:type="paragraph" w:styleId="ListBullet">
    <w:name w:val="List Bullet"/>
    <w:basedOn w:val="Normal"/>
    <w:semiHidden/>
    <w:unhideWhenUsed/>
    <w:rsid w:val="00B13675"/>
    <w:pPr>
      <w:numPr>
        <w:numId w:val="15"/>
      </w:numPr>
      <w:contextualSpacing/>
    </w:pPr>
  </w:style>
  <w:style w:type="paragraph" w:styleId="ListBullet2">
    <w:name w:val="List Bullet 2"/>
    <w:basedOn w:val="Normal"/>
    <w:uiPriority w:val="99"/>
    <w:semiHidden/>
    <w:unhideWhenUsed/>
    <w:rsid w:val="00B13675"/>
    <w:pPr>
      <w:numPr>
        <w:numId w:val="16"/>
      </w:numPr>
      <w:contextualSpacing/>
    </w:pPr>
  </w:style>
  <w:style w:type="paragraph" w:styleId="ListBullet3">
    <w:name w:val="List Bullet 3"/>
    <w:basedOn w:val="Normal"/>
    <w:uiPriority w:val="99"/>
    <w:semiHidden/>
    <w:unhideWhenUsed/>
    <w:rsid w:val="00B13675"/>
    <w:pPr>
      <w:numPr>
        <w:numId w:val="17"/>
      </w:numPr>
      <w:contextualSpacing/>
    </w:pPr>
  </w:style>
  <w:style w:type="paragraph" w:styleId="ListBullet4">
    <w:name w:val="List Bullet 4"/>
    <w:basedOn w:val="Normal"/>
    <w:uiPriority w:val="99"/>
    <w:semiHidden/>
    <w:unhideWhenUsed/>
    <w:rsid w:val="00B13675"/>
    <w:pPr>
      <w:numPr>
        <w:numId w:val="18"/>
      </w:numPr>
      <w:contextualSpacing/>
    </w:pPr>
  </w:style>
  <w:style w:type="paragraph" w:styleId="ListBullet5">
    <w:name w:val="List Bullet 5"/>
    <w:basedOn w:val="Normal"/>
    <w:uiPriority w:val="99"/>
    <w:semiHidden/>
    <w:unhideWhenUsed/>
    <w:rsid w:val="00B13675"/>
    <w:pPr>
      <w:numPr>
        <w:numId w:val="19"/>
      </w:numPr>
      <w:contextualSpacing/>
    </w:pPr>
  </w:style>
  <w:style w:type="paragraph" w:styleId="ListContinue">
    <w:name w:val="List Continue"/>
    <w:basedOn w:val="Normal"/>
    <w:uiPriority w:val="99"/>
    <w:semiHidden/>
    <w:unhideWhenUsed/>
    <w:rsid w:val="00B13675"/>
    <w:pPr>
      <w:ind w:left="283"/>
      <w:contextualSpacing/>
    </w:pPr>
  </w:style>
  <w:style w:type="paragraph" w:styleId="ListContinue2">
    <w:name w:val="List Continue 2"/>
    <w:basedOn w:val="Normal"/>
    <w:uiPriority w:val="99"/>
    <w:semiHidden/>
    <w:unhideWhenUsed/>
    <w:rsid w:val="00B13675"/>
    <w:pPr>
      <w:ind w:left="566"/>
      <w:contextualSpacing/>
    </w:pPr>
  </w:style>
  <w:style w:type="paragraph" w:styleId="ListContinue3">
    <w:name w:val="List Continue 3"/>
    <w:basedOn w:val="Normal"/>
    <w:uiPriority w:val="99"/>
    <w:semiHidden/>
    <w:unhideWhenUsed/>
    <w:rsid w:val="00B13675"/>
    <w:pPr>
      <w:ind w:left="849"/>
      <w:contextualSpacing/>
    </w:pPr>
  </w:style>
  <w:style w:type="paragraph" w:styleId="ListContinue4">
    <w:name w:val="List Continue 4"/>
    <w:basedOn w:val="Normal"/>
    <w:uiPriority w:val="99"/>
    <w:semiHidden/>
    <w:unhideWhenUsed/>
    <w:rsid w:val="00B13675"/>
    <w:pPr>
      <w:ind w:left="1132"/>
      <w:contextualSpacing/>
    </w:pPr>
  </w:style>
  <w:style w:type="paragraph" w:styleId="ListContinue5">
    <w:name w:val="List Continue 5"/>
    <w:basedOn w:val="Normal"/>
    <w:uiPriority w:val="99"/>
    <w:semiHidden/>
    <w:unhideWhenUsed/>
    <w:rsid w:val="00B13675"/>
    <w:pPr>
      <w:ind w:left="1415"/>
      <w:contextualSpacing/>
    </w:pPr>
  </w:style>
  <w:style w:type="paragraph" w:styleId="ListNumber">
    <w:name w:val="List Number"/>
    <w:basedOn w:val="Normal"/>
    <w:uiPriority w:val="99"/>
    <w:semiHidden/>
    <w:unhideWhenUsed/>
    <w:rsid w:val="00B13675"/>
    <w:pPr>
      <w:numPr>
        <w:numId w:val="20"/>
      </w:numPr>
      <w:contextualSpacing/>
    </w:pPr>
  </w:style>
  <w:style w:type="paragraph" w:styleId="ListNumber2">
    <w:name w:val="List Number 2"/>
    <w:basedOn w:val="Normal"/>
    <w:uiPriority w:val="99"/>
    <w:semiHidden/>
    <w:unhideWhenUsed/>
    <w:rsid w:val="00B13675"/>
    <w:pPr>
      <w:numPr>
        <w:numId w:val="21"/>
      </w:numPr>
      <w:contextualSpacing/>
    </w:pPr>
  </w:style>
  <w:style w:type="paragraph" w:styleId="ListNumber3">
    <w:name w:val="List Number 3"/>
    <w:basedOn w:val="Normal"/>
    <w:uiPriority w:val="99"/>
    <w:semiHidden/>
    <w:unhideWhenUsed/>
    <w:rsid w:val="00B13675"/>
    <w:pPr>
      <w:numPr>
        <w:numId w:val="22"/>
      </w:numPr>
      <w:contextualSpacing/>
    </w:pPr>
  </w:style>
  <w:style w:type="paragraph" w:styleId="ListNumber4">
    <w:name w:val="List Number 4"/>
    <w:basedOn w:val="Normal"/>
    <w:uiPriority w:val="99"/>
    <w:semiHidden/>
    <w:unhideWhenUsed/>
    <w:rsid w:val="00B13675"/>
    <w:pPr>
      <w:numPr>
        <w:numId w:val="23"/>
      </w:numPr>
      <w:contextualSpacing/>
    </w:pPr>
  </w:style>
  <w:style w:type="paragraph" w:styleId="ListNumber5">
    <w:name w:val="List Number 5"/>
    <w:basedOn w:val="Normal"/>
    <w:uiPriority w:val="99"/>
    <w:semiHidden/>
    <w:unhideWhenUsed/>
    <w:rsid w:val="00B13675"/>
    <w:pPr>
      <w:numPr>
        <w:numId w:val="24"/>
      </w:numPr>
      <w:contextualSpacing/>
    </w:pPr>
  </w:style>
  <w:style w:type="paragraph" w:styleId="MacroText">
    <w:name w:val="macro"/>
    <w:link w:val="MacroTextChar"/>
    <w:uiPriority w:val="99"/>
    <w:semiHidden/>
    <w:unhideWhenUsed/>
    <w:rsid w:val="00B13675"/>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nsolas" w:eastAsia="Calibri" w:hAnsi="Consolas" w:cs="Helvetica-Light"/>
      <w:color w:val="000000"/>
      <w:lang w:eastAsia="en-US"/>
    </w:rPr>
  </w:style>
  <w:style w:type="character" w:customStyle="1" w:styleId="MacroTextChar">
    <w:name w:val="Macro Text Char"/>
    <w:basedOn w:val="DefaultParagraphFont"/>
    <w:link w:val="MacroText"/>
    <w:uiPriority w:val="99"/>
    <w:semiHidden/>
    <w:rsid w:val="00B13675"/>
    <w:rPr>
      <w:rFonts w:ascii="Consolas" w:eastAsia="Calibri" w:hAnsi="Consolas" w:cs="Helvetica-Light"/>
      <w:color w:val="000000"/>
      <w:lang w:eastAsia="en-US"/>
    </w:rPr>
  </w:style>
  <w:style w:type="paragraph" w:styleId="MessageHeader">
    <w:name w:val="Message Header"/>
    <w:basedOn w:val="Normal"/>
    <w:link w:val="MessageHeaderChar"/>
    <w:uiPriority w:val="99"/>
    <w:semiHidden/>
    <w:unhideWhenUsed/>
    <w:rsid w:val="00B1367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13675"/>
    <w:rPr>
      <w:rFonts w:asciiTheme="majorHAnsi" w:eastAsiaTheme="majorEastAsia" w:hAnsiTheme="majorHAnsi" w:cstheme="majorBidi"/>
      <w:color w:val="000000"/>
      <w:sz w:val="24"/>
      <w:szCs w:val="24"/>
      <w:shd w:val="pct20" w:color="auto" w:fill="auto"/>
      <w:lang w:eastAsia="en-US"/>
    </w:rPr>
  </w:style>
  <w:style w:type="paragraph" w:styleId="NoteHeading">
    <w:name w:val="Note Heading"/>
    <w:basedOn w:val="Normal"/>
    <w:next w:val="Normal"/>
    <w:link w:val="NoteHeadingChar"/>
    <w:uiPriority w:val="99"/>
    <w:semiHidden/>
    <w:unhideWhenUsed/>
    <w:rsid w:val="00B13675"/>
    <w:pPr>
      <w:spacing w:after="0"/>
    </w:pPr>
  </w:style>
  <w:style w:type="character" w:customStyle="1" w:styleId="NoteHeadingChar">
    <w:name w:val="Note Heading Char"/>
    <w:basedOn w:val="DefaultParagraphFont"/>
    <w:link w:val="NoteHeading"/>
    <w:uiPriority w:val="99"/>
    <w:semiHidden/>
    <w:rsid w:val="00B13675"/>
    <w:rPr>
      <w:rFonts w:eastAsia="Calibri" w:cs="Helvetica-Light"/>
      <w:color w:val="000000"/>
      <w:sz w:val="24"/>
      <w:szCs w:val="24"/>
      <w:lang w:eastAsia="en-US"/>
    </w:rPr>
  </w:style>
  <w:style w:type="paragraph" w:styleId="PlainText">
    <w:name w:val="Plain Text"/>
    <w:basedOn w:val="Normal"/>
    <w:link w:val="PlainTextChar"/>
    <w:uiPriority w:val="2"/>
    <w:semiHidden/>
    <w:unhideWhenUsed/>
    <w:rsid w:val="00B13675"/>
    <w:pPr>
      <w:spacing w:after="0"/>
    </w:pPr>
    <w:rPr>
      <w:rFonts w:ascii="Consolas" w:hAnsi="Consolas"/>
      <w:sz w:val="21"/>
      <w:szCs w:val="21"/>
    </w:rPr>
  </w:style>
  <w:style w:type="character" w:customStyle="1" w:styleId="PlainTextChar">
    <w:name w:val="Plain Text Char"/>
    <w:basedOn w:val="DefaultParagraphFont"/>
    <w:link w:val="PlainText"/>
    <w:uiPriority w:val="2"/>
    <w:semiHidden/>
    <w:rsid w:val="00B13675"/>
    <w:rPr>
      <w:rFonts w:ascii="Consolas" w:eastAsia="Calibri" w:hAnsi="Consolas" w:cs="Helvetica-Light"/>
      <w:color w:val="000000"/>
      <w:sz w:val="21"/>
      <w:szCs w:val="21"/>
      <w:lang w:eastAsia="en-US"/>
    </w:rPr>
  </w:style>
  <w:style w:type="paragraph" w:styleId="Salutation">
    <w:name w:val="Salutation"/>
    <w:basedOn w:val="Normal"/>
    <w:next w:val="Normal"/>
    <w:link w:val="SalutationChar"/>
    <w:uiPriority w:val="99"/>
    <w:semiHidden/>
    <w:unhideWhenUsed/>
    <w:rsid w:val="00B13675"/>
  </w:style>
  <w:style w:type="character" w:customStyle="1" w:styleId="SalutationChar">
    <w:name w:val="Salutation Char"/>
    <w:basedOn w:val="DefaultParagraphFont"/>
    <w:link w:val="Salutation"/>
    <w:uiPriority w:val="99"/>
    <w:semiHidden/>
    <w:rsid w:val="00B13675"/>
    <w:rPr>
      <w:rFonts w:eastAsia="Calibri" w:cs="Helvetica-Light"/>
      <w:color w:val="000000"/>
      <w:sz w:val="24"/>
      <w:szCs w:val="24"/>
      <w:lang w:eastAsia="en-US"/>
    </w:rPr>
  </w:style>
  <w:style w:type="paragraph" w:styleId="Signature">
    <w:name w:val="Signature"/>
    <w:basedOn w:val="Normal"/>
    <w:link w:val="SignatureChar"/>
    <w:uiPriority w:val="99"/>
    <w:semiHidden/>
    <w:unhideWhenUsed/>
    <w:rsid w:val="00B13675"/>
    <w:pPr>
      <w:spacing w:after="0"/>
      <w:ind w:left="4252"/>
    </w:pPr>
  </w:style>
  <w:style w:type="character" w:customStyle="1" w:styleId="SignatureChar">
    <w:name w:val="Signature Char"/>
    <w:basedOn w:val="DefaultParagraphFont"/>
    <w:link w:val="Signature"/>
    <w:uiPriority w:val="99"/>
    <w:semiHidden/>
    <w:rsid w:val="00B13675"/>
    <w:rPr>
      <w:rFonts w:eastAsia="Calibri" w:cs="Helvetica-Light"/>
      <w:color w:val="000000"/>
      <w:sz w:val="24"/>
      <w:szCs w:val="24"/>
      <w:lang w:eastAsia="en-US"/>
    </w:rPr>
  </w:style>
  <w:style w:type="paragraph" w:styleId="Subtitle">
    <w:name w:val="Subtitle"/>
    <w:basedOn w:val="Normal"/>
    <w:next w:val="Normal"/>
    <w:link w:val="SubtitleChar"/>
    <w:uiPriority w:val="11"/>
    <w:qFormat/>
    <w:rsid w:val="00B1367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3675"/>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3365">
      <w:bodyDiv w:val="1"/>
      <w:marLeft w:val="0"/>
      <w:marRight w:val="0"/>
      <w:marTop w:val="0"/>
      <w:marBottom w:val="0"/>
      <w:divBdr>
        <w:top w:val="none" w:sz="0" w:space="0" w:color="auto"/>
        <w:left w:val="none" w:sz="0" w:space="0" w:color="auto"/>
        <w:bottom w:val="none" w:sz="0" w:space="0" w:color="auto"/>
        <w:right w:val="none" w:sz="0" w:space="0" w:color="auto"/>
      </w:divBdr>
    </w:div>
    <w:div w:id="29260652">
      <w:bodyDiv w:val="1"/>
      <w:marLeft w:val="0"/>
      <w:marRight w:val="0"/>
      <w:marTop w:val="0"/>
      <w:marBottom w:val="0"/>
      <w:divBdr>
        <w:top w:val="none" w:sz="0" w:space="0" w:color="auto"/>
        <w:left w:val="none" w:sz="0" w:space="0" w:color="auto"/>
        <w:bottom w:val="none" w:sz="0" w:space="0" w:color="auto"/>
        <w:right w:val="none" w:sz="0" w:space="0" w:color="auto"/>
      </w:divBdr>
    </w:div>
    <w:div w:id="51778430">
      <w:bodyDiv w:val="1"/>
      <w:marLeft w:val="0"/>
      <w:marRight w:val="0"/>
      <w:marTop w:val="0"/>
      <w:marBottom w:val="0"/>
      <w:divBdr>
        <w:top w:val="none" w:sz="0" w:space="0" w:color="auto"/>
        <w:left w:val="none" w:sz="0" w:space="0" w:color="auto"/>
        <w:bottom w:val="none" w:sz="0" w:space="0" w:color="auto"/>
        <w:right w:val="none" w:sz="0" w:space="0" w:color="auto"/>
      </w:divBdr>
    </w:div>
    <w:div w:id="70155227">
      <w:bodyDiv w:val="1"/>
      <w:marLeft w:val="0"/>
      <w:marRight w:val="0"/>
      <w:marTop w:val="0"/>
      <w:marBottom w:val="0"/>
      <w:divBdr>
        <w:top w:val="none" w:sz="0" w:space="0" w:color="auto"/>
        <w:left w:val="none" w:sz="0" w:space="0" w:color="auto"/>
        <w:bottom w:val="none" w:sz="0" w:space="0" w:color="auto"/>
        <w:right w:val="none" w:sz="0" w:space="0" w:color="auto"/>
      </w:divBdr>
    </w:div>
    <w:div w:id="84959237">
      <w:bodyDiv w:val="1"/>
      <w:marLeft w:val="0"/>
      <w:marRight w:val="0"/>
      <w:marTop w:val="0"/>
      <w:marBottom w:val="0"/>
      <w:divBdr>
        <w:top w:val="none" w:sz="0" w:space="0" w:color="auto"/>
        <w:left w:val="none" w:sz="0" w:space="0" w:color="auto"/>
        <w:bottom w:val="none" w:sz="0" w:space="0" w:color="auto"/>
        <w:right w:val="none" w:sz="0" w:space="0" w:color="auto"/>
      </w:divBdr>
    </w:div>
    <w:div w:id="91441466">
      <w:bodyDiv w:val="1"/>
      <w:marLeft w:val="0"/>
      <w:marRight w:val="0"/>
      <w:marTop w:val="0"/>
      <w:marBottom w:val="0"/>
      <w:divBdr>
        <w:top w:val="none" w:sz="0" w:space="0" w:color="auto"/>
        <w:left w:val="none" w:sz="0" w:space="0" w:color="auto"/>
        <w:bottom w:val="none" w:sz="0" w:space="0" w:color="auto"/>
        <w:right w:val="none" w:sz="0" w:space="0" w:color="auto"/>
      </w:divBdr>
    </w:div>
    <w:div w:id="105203199">
      <w:bodyDiv w:val="1"/>
      <w:marLeft w:val="0"/>
      <w:marRight w:val="0"/>
      <w:marTop w:val="0"/>
      <w:marBottom w:val="0"/>
      <w:divBdr>
        <w:top w:val="none" w:sz="0" w:space="0" w:color="auto"/>
        <w:left w:val="none" w:sz="0" w:space="0" w:color="auto"/>
        <w:bottom w:val="none" w:sz="0" w:space="0" w:color="auto"/>
        <w:right w:val="none" w:sz="0" w:space="0" w:color="auto"/>
      </w:divBdr>
    </w:div>
    <w:div w:id="129520834">
      <w:bodyDiv w:val="1"/>
      <w:marLeft w:val="0"/>
      <w:marRight w:val="0"/>
      <w:marTop w:val="0"/>
      <w:marBottom w:val="0"/>
      <w:divBdr>
        <w:top w:val="none" w:sz="0" w:space="0" w:color="auto"/>
        <w:left w:val="none" w:sz="0" w:space="0" w:color="auto"/>
        <w:bottom w:val="none" w:sz="0" w:space="0" w:color="auto"/>
        <w:right w:val="none" w:sz="0" w:space="0" w:color="auto"/>
      </w:divBdr>
    </w:div>
    <w:div w:id="137960841">
      <w:bodyDiv w:val="1"/>
      <w:marLeft w:val="0"/>
      <w:marRight w:val="0"/>
      <w:marTop w:val="0"/>
      <w:marBottom w:val="0"/>
      <w:divBdr>
        <w:top w:val="none" w:sz="0" w:space="0" w:color="auto"/>
        <w:left w:val="none" w:sz="0" w:space="0" w:color="auto"/>
        <w:bottom w:val="none" w:sz="0" w:space="0" w:color="auto"/>
        <w:right w:val="none" w:sz="0" w:space="0" w:color="auto"/>
      </w:divBdr>
    </w:div>
    <w:div w:id="140848985">
      <w:bodyDiv w:val="1"/>
      <w:marLeft w:val="0"/>
      <w:marRight w:val="0"/>
      <w:marTop w:val="0"/>
      <w:marBottom w:val="0"/>
      <w:divBdr>
        <w:top w:val="none" w:sz="0" w:space="0" w:color="auto"/>
        <w:left w:val="none" w:sz="0" w:space="0" w:color="auto"/>
        <w:bottom w:val="none" w:sz="0" w:space="0" w:color="auto"/>
        <w:right w:val="none" w:sz="0" w:space="0" w:color="auto"/>
      </w:divBdr>
    </w:div>
    <w:div w:id="144974779">
      <w:bodyDiv w:val="1"/>
      <w:marLeft w:val="0"/>
      <w:marRight w:val="0"/>
      <w:marTop w:val="0"/>
      <w:marBottom w:val="0"/>
      <w:divBdr>
        <w:top w:val="none" w:sz="0" w:space="0" w:color="auto"/>
        <w:left w:val="none" w:sz="0" w:space="0" w:color="auto"/>
        <w:bottom w:val="none" w:sz="0" w:space="0" w:color="auto"/>
        <w:right w:val="none" w:sz="0" w:space="0" w:color="auto"/>
      </w:divBdr>
    </w:div>
    <w:div w:id="148251644">
      <w:bodyDiv w:val="1"/>
      <w:marLeft w:val="0"/>
      <w:marRight w:val="0"/>
      <w:marTop w:val="0"/>
      <w:marBottom w:val="0"/>
      <w:divBdr>
        <w:top w:val="none" w:sz="0" w:space="0" w:color="auto"/>
        <w:left w:val="none" w:sz="0" w:space="0" w:color="auto"/>
        <w:bottom w:val="none" w:sz="0" w:space="0" w:color="auto"/>
        <w:right w:val="none" w:sz="0" w:space="0" w:color="auto"/>
      </w:divBdr>
    </w:div>
    <w:div w:id="149488776">
      <w:bodyDiv w:val="1"/>
      <w:marLeft w:val="0"/>
      <w:marRight w:val="0"/>
      <w:marTop w:val="0"/>
      <w:marBottom w:val="0"/>
      <w:divBdr>
        <w:top w:val="none" w:sz="0" w:space="0" w:color="auto"/>
        <w:left w:val="none" w:sz="0" w:space="0" w:color="auto"/>
        <w:bottom w:val="none" w:sz="0" w:space="0" w:color="auto"/>
        <w:right w:val="none" w:sz="0" w:space="0" w:color="auto"/>
      </w:divBdr>
    </w:div>
    <w:div w:id="195625006">
      <w:bodyDiv w:val="1"/>
      <w:marLeft w:val="0"/>
      <w:marRight w:val="0"/>
      <w:marTop w:val="0"/>
      <w:marBottom w:val="0"/>
      <w:divBdr>
        <w:top w:val="none" w:sz="0" w:space="0" w:color="auto"/>
        <w:left w:val="none" w:sz="0" w:space="0" w:color="auto"/>
        <w:bottom w:val="none" w:sz="0" w:space="0" w:color="auto"/>
        <w:right w:val="none" w:sz="0" w:space="0" w:color="auto"/>
      </w:divBdr>
    </w:div>
    <w:div w:id="211504535">
      <w:bodyDiv w:val="1"/>
      <w:marLeft w:val="0"/>
      <w:marRight w:val="0"/>
      <w:marTop w:val="0"/>
      <w:marBottom w:val="0"/>
      <w:divBdr>
        <w:top w:val="none" w:sz="0" w:space="0" w:color="auto"/>
        <w:left w:val="none" w:sz="0" w:space="0" w:color="auto"/>
        <w:bottom w:val="none" w:sz="0" w:space="0" w:color="auto"/>
        <w:right w:val="none" w:sz="0" w:space="0" w:color="auto"/>
      </w:divBdr>
    </w:div>
    <w:div w:id="224804578">
      <w:bodyDiv w:val="1"/>
      <w:marLeft w:val="0"/>
      <w:marRight w:val="0"/>
      <w:marTop w:val="0"/>
      <w:marBottom w:val="0"/>
      <w:divBdr>
        <w:top w:val="none" w:sz="0" w:space="0" w:color="auto"/>
        <w:left w:val="none" w:sz="0" w:space="0" w:color="auto"/>
        <w:bottom w:val="none" w:sz="0" w:space="0" w:color="auto"/>
        <w:right w:val="none" w:sz="0" w:space="0" w:color="auto"/>
      </w:divBdr>
    </w:div>
    <w:div w:id="236478501">
      <w:bodyDiv w:val="1"/>
      <w:marLeft w:val="0"/>
      <w:marRight w:val="0"/>
      <w:marTop w:val="0"/>
      <w:marBottom w:val="0"/>
      <w:divBdr>
        <w:top w:val="none" w:sz="0" w:space="0" w:color="auto"/>
        <w:left w:val="none" w:sz="0" w:space="0" w:color="auto"/>
        <w:bottom w:val="none" w:sz="0" w:space="0" w:color="auto"/>
        <w:right w:val="none" w:sz="0" w:space="0" w:color="auto"/>
      </w:divBdr>
    </w:div>
    <w:div w:id="241838304">
      <w:bodyDiv w:val="1"/>
      <w:marLeft w:val="0"/>
      <w:marRight w:val="0"/>
      <w:marTop w:val="0"/>
      <w:marBottom w:val="0"/>
      <w:divBdr>
        <w:top w:val="none" w:sz="0" w:space="0" w:color="auto"/>
        <w:left w:val="none" w:sz="0" w:space="0" w:color="auto"/>
        <w:bottom w:val="none" w:sz="0" w:space="0" w:color="auto"/>
        <w:right w:val="none" w:sz="0" w:space="0" w:color="auto"/>
      </w:divBdr>
    </w:div>
    <w:div w:id="288358401">
      <w:bodyDiv w:val="1"/>
      <w:marLeft w:val="0"/>
      <w:marRight w:val="0"/>
      <w:marTop w:val="0"/>
      <w:marBottom w:val="0"/>
      <w:divBdr>
        <w:top w:val="none" w:sz="0" w:space="0" w:color="auto"/>
        <w:left w:val="none" w:sz="0" w:space="0" w:color="auto"/>
        <w:bottom w:val="none" w:sz="0" w:space="0" w:color="auto"/>
        <w:right w:val="none" w:sz="0" w:space="0" w:color="auto"/>
      </w:divBdr>
    </w:div>
    <w:div w:id="300306326">
      <w:bodyDiv w:val="1"/>
      <w:marLeft w:val="0"/>
      <w:marRight w:val="0"/>
      <w:marTop w:val="0"/>
      <w:marBottom w:val="0"/>
      <w:divBdr>
        <w:top w:val="none" w:sz="0" w:space="0" w:color="auto"/>
        <w:left w:val="none" w:sz="0" w:space="0" w:color="auto"/>
        <w:bottom w:val="none" w:sz="0" w:space="0" w:color="auto"/>
        <w:right w:val="none" w:sz="0" w:space="0" w:color="auto"/>
      </w:divBdr>
    </w:div>
    <w:div w:id="316109551">
      <w:bodyDiv w:val="1"/>
      <w:marLeft w:val="0"/>
      <w:marRight w:val="0"/>
      <w:marTop w:val="0"/>
      <w:marBottom w:val="0"/>
      <w:divBdr>
        <w:top w:val="none" w:sz="0" w:space="0" w:color="auto"/>
        <w:left w:val="none" w:sz="0" w:space="0" w:color="auto"/>
        <w:bottom w:val="none" w:sz="0" w:space="0" w:color="auto"/>
        <w:right w:val="none" w:sz="0" w:space="0" w:color="auto"/>
      </w:divBdr>
    </w:div>
    <w:div w:id="335693493">
      <w:bodyDiv w:val="1"/>
      <w:marLeft w:val="0"/>
      <w:marRight w:val="0"/>
      <w:marTop w:val="0"/>
      <w:marBottom w:val="0"/>
      <w:divBdr>
        <w:top w:val="none" w:sz="0" w:space="0" w:color="auto"/>
        <w:left w:val="none" w:sz="0" w:space="0" w:color="auto"/>
        <w:bottom w:val="none" w:sz="0" w:space="0" w:color="auto"/>
        <w:right w:val="none" w:sz="0" w:space="0" w:color="auto"/>
      </w:divBdr>
    </w:div>
    <w:div w:id="372968289">
      <w:bodyDiv w:val="1"/>
      <w:marLeft w:val="0"/>
      <w:marRight w:val="0"/>
      <w:marTop w:val="0"/>
      <w:marBottom w:val="0"/>
      <w:divBdr>
        <w:top w:val="none" w:sz="0" w:space="0" w:color="auto"/>
        <w:left w:val="none" w:sz="0" w:space="0" w:color="auto"/>
        <w:bottom w:val="none" w:sz="0" w:space="0" w:color="auto"/>
        <w:right w:val="none" w:sz="0" w:space="0" w:color="auto"/>
      </w:divBdr>
    </w:div>
    <w:div w:id="384186869">
      <w:bodyDiv w:val="1"/>
      <w:marLeft w:val="0"/>
      <w:marRight w:val="0"/>
      <w:marTop w:val="0"/>
      <w:marBottom w:val="0"/>
      <w:divBdr>
        <w:top w:val="none" w:sz="0" w:space="0" w:color="auto"/>
        <w:left w:val="none" w:sz="0" w:space="0" w:color="auto"/>
        <w:bottom w:val="none" w:sz="0" w:space="0" w:color="auto"/>
        <w:right w:val="none" w:sz="0" w:space="0" w:color="auto"/>
      </w:divBdr>
    </w:div>
    <w:div w:id="415519755">
      <w:bodyDiv w:val="1"/>
      <w:marLeft w:val="0"/>
      <w:marRight w:val="0"/>
      <w:marTop w:val="0"/>
      <w:marBottom w:val="0"/>
      <w:divBdr>
        <w:top w:val="none" w:sz="0" w:space="0" w:color="auto"/>
        <w:left w:val="none" w:sz="0" w:space="0" w:color="auto"/>
        <w:bottom w:val="none" w:sz="0" w:space="0" w:color="auto"/>
        <w:right w:val="none" w:sz="0" w:space="0" w:color="auto"/>
      </w:divBdr>
    </w:div>
    <w:div w:id="446314983">
      <w:bodyDiv w:val="1"/>
      <w:marLeft w:val="0"/>
      <w:marRight w:val="0"/>
      <w:marTop w:val="0"/>
      <w:marBottom w:val="0"/>
      <w:divBdr>
        <w:top w:val="none" w:sz="0" w:space="0" w:color="auto"/>
        <w:left w:val="none" w:sz="0" w:space="0" w:color="auto"/>
        <w:bottom w:val="none" w:sz="0" w:space="0" w:color="auto"/>
        <w:right w:val="none" w:sz="0" w:space="0" w:color="auto"/>
      </w:divBdr>
    </w:div>
    <w:div w:id="449322379">
      <w:bodyDiv w:val="1"/>
      <w:marLeft w:val="0"/>
      <w:marRight w:val="0"/>
      <w:marTop w:val="0"/>
      <w:marBottom w:val="0"/>
      <w:divBdr>
        <w:top w:val="none" w:sz="0" w:space="0" w:color="auto"/>
        <w:left w:val="none" w:sz="0" w:space="0" w:color="auto"/>
        <w:bottom w:val="none" w:sz="0" w:space="0" w:color="auto"/>
        <w:right w:val="none" w:sz="0" w:space="0" w:color="auto"/>
      </w:divBdr>
    </w:div>
    <w:div w:id="459106641">
      <w:bodyDiv w:val="1"/>
      <w:marLeft w:val="0"/>
      <w:marRight w:val="0"/>
      <w:marTop w:val="0"/>
      <w:marBottom w:val="0"/>
      <w:divBdr>
        <w:top w:val="none" w:sz="0" w:space="0" w:color="auto"/>
        <w:left w:val="none" w:sz="0" w:space="0" w:color="auto"/>
        <w:bottom w:val="none" w:sz="0" w:space="0" w:color="auto"/>
        <w:right w:val="none" w:sz="0" w:space="0" w:color="auto"/>
      </w:divBdr>
    </w:div>
    <w:div w:id="489055915">
      <w:bodyDiv w:val="1"/>
      <w:marLeft w:val="0"/>
      <w:marRight w:val="0"/>
      <w:marTop w:val="0"/>
      <w:marBottom w:val="0"/>
      <w:divBdr>
        <w:top w:val="none" w:sz="0" w:space="0" w:color="auto"/>
        <w:left w:val="none" w:sz="0" w:space="0" w:color="auto"/>
        <w:bottom w:val="none" w:sz="0" w:space="0" w:color="auto"/>
        <w:right w:val="none" w:sz="0" w:space="0" w:color="auto"/>
      </w:divBdr>
    </w:div>
    <w:div w:id="491289203">
      <w:bodyDiv w:val="1"/>
      <w:marLeft w:val="0"/>
      <w:marRight w:val="0"/>
      <w:marTop w:val="0"/>
      <w:marBottom w:val="0"/>
      <w:divBdr>
        <w:top w:val="none" w:sz="0" w:space="0" w:color="auto"/>
        <w:left w:val="none" w:sz="0" w:space="0" w:color="auto"/>
        <w:bottom w:val="none" w:sz="0" w:space="0" w:color="auto"/>
        <w:right w:val="none" w:sz="0" w:space="0" w:color="auto"/>
      </w:divBdr>
    </w:div>
    <w:div w:id="522670226">
      <w:bodyDiv w:val="1"/>
      <w:marLeft w:val="0"/>
      <w:marRight w:val="0"/>
      <w:marTop w:val="0"/>
      <w:marBottom w:val="0"/>
      <w:divBdr>
        <w:top w:val="none" w:sz="0" w:space="0" w:color="auto"/>
        <w:left w:val="none" w:sz="0" w:space="0" w:color="auto"/>
        <w:bottom w:val="none" w:sz="0" w:space="0" w:color="auto"/>
        <w:right w:val="none" w:sz="0" w:space="0" w:color="auto"/>
      </w:divBdr>
    </w:div>
    <w:div w:id="542909440">
      <w:bodyDiv w:val="1"/>
      <w:marLeft w:val="0"/>
      <w:marRight w:val="0"/>
      <w:marTop w:val="0"/>
      <w:marBottom w:val="0"/>
      <w:divBdr>
        <w:top w:val="none" w:sz="0" w:space="0" w:color="auto"/>
        <w:left w:val="none" w:sz="0" w:space="0" w:color="auto"/>
        <w:bottom w:val="none" w:sz="0" w:space="0" w:color="auto"/>
        <w:right w:val="none" w:sz="0" w:space="0" w:color="auto"/>
      </w:divBdr>
    </w:div>
    <w:div w:id="570043458">
      <w:bodyDiv w:val="1"/>
      <w:marLeft w:val="0"/>
      <w:marRight w:val="0"/>
      <w:marTop w:val="0"/>
      <w:marBottom w:val="0"/>
      <w:divBdr>
        <w:top w:val="none" w:sz="0" w:space="0" w:color="auto"/>
        <w:left w:val="none" w:sz="0" w:space="0" w:color="auto"/>
        <w:bottom w:val="none" w:sz="0" w:space="0" w:color="auto"/>
        <w:right w:val="none" w:sz="0" w:space="0" w:color="auto"/>
      </w:divBdr>
    </w:div>
    <w:div w:id="577986322">
      <w:bodyDiv w:val="1"/>
      <w:marLeft w:val="0"/>
      <w:marRight w:val="0"/>
      <w:marTop w:val="0"/>
      <w:marBottom w:val="0"/>
      <w:divBdr>
        <w:top w:val="none" w:sz="0" w:space="0" w:color="auto"/>
        <w:left w:val="none" w:sz="0" w:space="0" w:color="auto"/>
        <w:bottom w:val="none" w:sz="0" w:space="0" w:color="auto"/>
        <w:right w:val="none" w:sz="0" w:space="0" w:color="auto"/>
      </w:divBdr>
    </w:div>
    <w:div w:id="579096800">
      <w:bodyDiv w:val="1"/>
      <w:marLeft w:val="0"/>
      <w:marRight w:val="0"/>
      <w:marTop w:val="0"/>
      <w:marBottom w:val="0"/>
      <w:divBdr>
        <w:top w:val="none" w:sz="0" w:space="0" w:color="auto"/>
        <w:left w:val="none" w:sz="0" w:space="0" w:color="auto"/>
        <w:bottom w:val="none" w:sz="0" w:space="0" w:color="auto"/>
        <w:right w:val="none" w:sz="0" w:space="0" w:color="auto"/>
      </w:divBdr>
    </w:div>
    <w:div w:id="609122918">
      <w:bodyDiv w:val="1"/>
      <w:marLeft w:val="0"/>
      <w:marRight w:val="0"/>
      <w:marTop w:val="0"/>
      <w:marBottom w:val="0"/>
      <w:divBdr>
        <w:top w:val="none" w:sz="0" w:space="0" w:color="auto"/>
        <w:left w:val="none" w:sz="0" w:space="0" w:color="auto"/>
        <w:bottom w:val="none" w:sz="0" w:space="0" w:color="auto"/>
        <w:right w:val="none" w:sz="0" w:space="0" w:color="auto"/>
      </w:divBdr>
    </w:div>
    <w:div w:id="641233166">
      <w:bodyDiv w:val="1"/>
      <w:marLeft w:val="0"/>
      <w:marRight w:val="0"/>
      <w:marTop w:val="0"/>
      <w:marBottom w:val="0"/>
      <w:divBdr>
        <w:top w:val="none" w:sz="0" w:space="0" w:color="auto"/>
        <w:left w:val="none" w:sz="0" w:space="0" w:color="auto"/>
        <w:bottom w:val="none" w:sz="0" w:space="0" w:color="auto"/>
        <w:right w:val="none" w:sz="0" w:space="0" w:color="auto"/>
      </w:divBdr>
    </w:div>
    <w:div w:id="646469297">
      <w:bodyDiv w:val="1"/>
      <w:marLeft w:val="0"/>
      <w:marRight w:val="0"/>
      <w:marTop w:val="0"/>
      <w:marBottom w:val="0"/>
      <w:divBdr>
        <w:top w:val="none" w:sz="0" w:space="0" w:color="auto"/>
        <w:left w:val="none" w:sz="0" w:space="0" w:color="auto"/>
        <w:bottom w:val="none" w:sz="0" w:space="0" w:color="auto"/>
        <w:right w:val="none" w:sz="0" w:space="0" w:color="auto"/>
      </w:divBdr>
    </w:div>
    <w:div w:id="647976272">
      <w:bodyDiv w:val="1"/>
      <w:marLeft w:val="0"/>
      <w:marRight w:val="0"/>
      <w:marTop w:val="0"/>
      <w:marBottom w:val="0"/>
      <w:divBdr>
        <w:top w:val="none" w:sz="0" w:space="0" w:color="auto"/>
        <w:left w:val="none" w:sz="0" w:space="0" w:color="auto"/>
        <w:bottom w:val="none" w:sz="0" w:space="0" w:color="auto"/>
        <w:right w:val="none" w:sz="0" w:space="0" w:color="auto"/>
      </w:divBdr>
    </w:div>
    <w:div w:id="660960736">
      <w:bodyDiv w:val="1"/>
      <w:marLeft w:val="0"/>
      <w:marRight w:val="0"/>
      <w:marTop w:val="0"/>
      <w:marBottom w:val="0"/>
      <w:divBdr>
        <w:top w:val="none" w:sz="0" w:space="0" w:color="auto"/>
        <w:left w:val="none" w:sz="0" w:space="0" w:color="auto"/>
        <w:bottom w:val="none" w:sz="0" w:space="0" w:color="auto"/>
        <w:right w:val="none" w:sz="0" w:space="0" w:color="auto"/>
      </w:divBdr>
    </w:div>
    <w:div w:id="672757885">
      <w:bodyDiv w:val="1"/>
      <w:marLeft w:val="0"/>
      <w:marRight w:val="0"/>
      <w:marTop w:val="0"/>
      <w:marBottom w:val="0"/>
      <w:divBdr>
        <w:top w:val="none" w:sz="0" w:space="0" w:color="auto"/>
        <w:left w:val="none" w:sz="0" w:space="0" w:color="auto"/>
        <w:bottom w:val="none" w:sz="0" w:space="0" w:color="auto"/>
        <w:right w:val="none" w:sz="0" w:space="0" w:color="auto"/>
      </w:divBdr>
    </w:div>
    <w:div w:id="680158319">
      <w:bodyDiv w:val="1"/>
      <w:marLeft w:val="0"/>
      <w:marRight w:val="0"/>
      <w:marTop w:val="0"/>
      <w:marBottom w:val="0"/>
      <w:divBdr>
        <w:top w:val="none" w:sz="0" w:space="0" w:color="auto"/>
        <w:left w:val="none" w:sz="0" w:space="0" w:color="auto"/>
        <w:bottom w:val="none" w:sz="0" w:space="0" w:color="auto"/>
        <w:right w:val="none" w:sz="0" w:space="0" w:color="auto"/>
      </w:divBdr>
    </w:div>
    <w:div w:id="695691962">
      <w:bodyDiv w:val="1"/>
      <w:marLeft w:val="0"/>
      <w:marRight w:val="0"/>
      <w:marTop w:val="0"/>
      <w:marBottom w:val="0"/>
      <w:divBdr>
        <w:top w:val="none" w:sz="0" w:space="0" w:color="auto"/>
        <w:left w:val="none" w:sz="0" w:space="0" w:color="auto"/>
        <w:bottom w:val="none" w:sz="0" w:space="0" w:color="auto"/>
        <w:right w:val="none" w:sz="0" w:space="0" w:color="auto"/>
      </w:divBdr>
    </w:div>
    <w:div w:id="723873389">
      <w:bodyDiv w:val="1"/>
      <w:marLeft w:val="0"/>
      <w:marRight w:val="0"/>
      <w:marTop w:val="0"/>
      <w:marBottom w:val="0"/>
      <w:divBdr>
        <w:top w:val="none" w:sz="0" w:space="0" w:color="auto"/>
        <w:left w:val="none" w:sz="0" w:space="0" w:color="auto"/>
        <w:bottom w:val="none" w:sz="0" w:space="0" w:color="auto"/>
        <w:right w:val="none" w:sz="0" w:space="0" w:color="auto"/>
      </w:divBdr>
    </w:div>
    <w:div w:id="734351482">
      <w:bodyDiv w:val="1"/>
      <w:marLeft w:val="0"/>
      <w:marRight w:val="0"/>
      <w:marTop w:val="0"/>
      <w:marBottom w:val="0"/>
      <w:divBdr>
        <w:top w:val="none" w:sz="0" w:space="0" w:color="auto"/>
        <w:left w:val="none" w:sz="0" w:space="0" w:color="auto"/>
        <w:bottom w:val="none" w:sz="0" w:space="0" w:color="auto"/>
        <w:right w:val="none" w:sz="0" w:space="0" w:color="auto"/>
      </w:divBdr>
    </w:div>
    <w:div w:id="747386411">
      <w:bodyDiv w:val="1"/>
      <w:marLeft w:val="0"/>
      <w:marRight w:val="0"/>
      <w:marTop w:val="0"/>
      <w:marBottom w:val="0"/>
      <w:divBdr>
        <w:top w:val="none" w:sz="0" w:space="0" w:color="auto"/>
        <w:left w:val="none" w:sz="0" w:space="0" w:color="auto"/>
        <w:bottom w:val="none" w:sz="0" w:space="0" w:color="auto"/>
        <w:right w:val="none" w:sz="0" w:space="0" w:color="auto"/>
      </w:divBdr>
    </w:div>
    <w:div w:id="749039522">
      <w:bodyDiv w:val="1"/>
      <w:marLeft w:val="0"/>
      <w:marRight w:val="0"/>
      <w:marTop w:val="0"/>
      <w:marBottom w:val="0"/>
      <w:divBdr>
        <w:top w:val="none" w:sz="0" w:space="0" w:color="auto"/>
        <w:left w:val="none" w:sz="0" w:space="0" w:color="auto"/>
        <w:bottom w:val="none" w:sz="0" w:space="0" w:color="auto"/>
        <w:right w:val="none" w:sz="0" w:space="0" w:color="auto"/>
      </w:divBdr>
    </w:div>
    <w:div w:id="775291717">
      <w:bodyDiv w:val="1"/>
      <w:marLeft w:val="0"/>
      <w:marRight w:val="0"/>
      <w:marTop w:val="0"/>
      <w:marBottom w:val="0"/>
      <w:divBdr>
        <w:top w:val="none" w:sz="0" w:space="0" w:color="auto"/>
        <w:left w:val="none" w:sz="0" w:space="0" w:color="auto"/>
        <w:bottom w:val="none" w:sz="0" w:space="0" w:color="auto"/>
        <w:right w:val="none" w:sz="0" w:space="0" w:color="auto"/>
      </w:divBdr>
    </w:div>
    <w:div w:id="785465042">
      <w:bodyDiv w:val="1"/>
      <w:marLeft w:val="0"/>
      <w:marRight w:val="0"/>
      <w:marTop w:val="0"/>
      <w:marBottom w:val="0"/>
      <w:divBdr>
        <w:top w:val="none" w:sz="0" w:space="0" w:color="auto"/>
        <w:left w:val="none" w:sz="0" w:space="0" w:color="auto"/>
        <w:bottom w:val="none" w:sz="0" w:space="0" w:color="auto"/>
        <w:right w:val="none" w:sz="0" w:space="0" w:color="auto"/>
      </w:divBdr>
    </w:div>
    <w:div w:id="787360127">
      <w:bodyDiv w:val="1"/>
      <w:marLeft w:val="0"/>
      <w:marRight w:val="0"/>
      <w:marTop w:val="0"/>
      <w:marBottom w:val="0"/>
      <w:divBdr>
        <w:top w:val="none" w:sz="0" w:space="0" w:color="auto"/>
        <w:left w:val="none" w:sz="0" w:space="0" w:color="auto"/>
        <w:bottom w:val="none" w:sz="0" w:space="0" w:color="auto"/>
        <w:right w:val="none" w:sz="0" w:space="0" w:color="auto"/>
      </w:divBdr>
    </w:div>
    <w:div w:id="793868416">
      <w:bodyDiv w:val="1"/>
      <w:marLeft w:val="0"/>
      <w:marRight w:val="0"/>
      <w:marTop w:val="0"/>
      <w:marBottom w:val="0"/>
      <w:divBdr>
        <w:top w:val="none" w:sz="0" w:space="0" w:color="auto"/>
        <w:left w:val="none" w:sz="0" w:space="0" w:color="auto"/>
        <w:bottom w:val="none" w:sz="0" w:space="0" w:color="auto"/>
        <w:right w:val="none" w:sz="0" w:space="0" w:color="auto"/>
      </w:divBdr>
    </w:div>
    <w:div w:id="796139463">
      <w:bodyDiv w:val="1"/>
      <w:marLeft w:val="0"/>
      <w:marRight w:val="0"/>
      <w:marTop w:val="0"/>
      <w:marBottom w:val="0"/>
      <w:divBdr>
        <w:top w:val="none" w:sz="0" w:space="0" w:color="auto"/>
        <w:left w:val="none" w:sz="0" w:space="0" w:color="auto"/>
        <w:bottom w:val="none" w:sz="0" w:space="0" w:color="auto"/>
        <w:right w:val="none" w:sz="0" w:space="0" w:color="auto"/>
      </w:divBdr>
    </w:div>
    <w:div w:id="799570228">
      <w:bodyDiv w:val="1"/>
      <w:marLeft w:val="0"/>
      <w:marRight w:val="0"/>
      <w:marTop w:val="0"/>
      <w:marBottom w:val="0"/>
      <w:divBdr>
        <w:top w:val="none" w:sz="0" w:space="0" w:color="auto"/>
        <w:left w:val="none" w:sz="0" w:space="0" w:color="auto"/>
        <w:bottom w:val="none" w:sz="0" w:space="0" w:color="auto"/>
        <w:right w:val="none" w:sz="0" w:space="0" w:color="auto"/>
      </w:divBdr>
    </w:div>
    <w:div w:id="801072868">
      <w:bodyDiv w:val="1"/>
      <w:marLeft w:val="0"/>
      <w:marRight w:val="0"/>
      <w:marTop w:val="0"/>
      <w:marBottom w:val="0"/>
      <w:divBdr>
        <w:top w:val="none" w:sz="0" w:space="0" w:color="auto"/>
        <w:left w:val="none" w:sz="0" w:space="0" w:color="auto"/>
        <w:bottom w:val="none" w:sz="0" w:space="0" w:color="auto"/>
        <w:right w:val="none" w:sz="0" w:space="0" w:color="auto"/>
      </w:divBdr>
    </w:div>
    <w:div w:id="825628159">
      <w:bodyDiv w:val="1"/>
      <w:marLeft w:val="0"/>
      <w:marRight w:val="0"/>
      <w:marTop w:val="0"/>
      <w:marBottom w:val="0"/>
      <w:divBdr>
        <w:top w:val="none" w:sz="0" w:space="0" w:color="auto"/>
        <w:left w:val="none" w:sz="0" w:space="0" w:color="auto"/>
        <w:bottom w:val="none" w:sz="0" w:space="0" w:color="auto"/>
        <w:right w:val="none" w:sz="0" w:space="0" w:color="auto"/>
      </w:divBdr>
    </w:div>
    <w:div w:id="829448082">
      <w:bodyDiv w:val="1"/>
      <w:marLeft w:val="0"/>
      <w:marRight w:val="0"/>
      <w:marTop w:val="0"/>
      <w:marBottom w:val="0"/>
      <w:divBdr>
        <w:top w:val="none" w:sz="0" w:space="0" w:color="auto"/>
        <w:left w:val="none" w:sz="0" w:space="0" w:color="auto"/>
        <w:bottom w:val="none" w:sz="0" w:space="0" w:color="auto"/>
        <w:right w:val="none" w:sz="0" w:space="0" w:color="auto"/>
      </w:divBdr>
    </w:div>
    <w:div w:id="830878059">
      <w:bodyDiv w:val="1"/>
      <w:marLeft w:val="0"/>
      <w:marRight w:val="0"/>
      <w:marTop w:val="0"/>
      <w:marBottom w:val="0"/>
      <w:divBdr>
        <w:top w:val="none" w:sz="0" w:space="0" w:color="auto"/>
        <w:left w:val="none" w:sz="0" w:space="0" w:color="auto"/>
        <w:bottom w:val="none" w:sz="0" w:space="0" w:color="auto"/>
        <w:right w:val="none" w:sz="0" w:space="0" w:color="auto"/>
      </w:divBdr>
    </w:div>
    <w:div w:id="845943961">
      <w:bodyDiv w:val="1"/>
      <w:marLeft w:val="0"/>
      <w:marRight w:val="0"/>
      <w:marTop w:val="0"/>
      <w:marBottom w:val="0"/>
      <w:divBdr>
        <w:top w:val="none" w:sz="0" w:space="0" w:color="auto"/>
        <w:left w:val="none" w:sz="0" w:space="0" w:color="auto"/>
        <w:bottom w:val="none" w:sz="0" w:space="0" w:color="auto"/>
        <w:right w:val="none" w:sz="0" w:space="0" w:color="auto"/>
      </w:divBdr>
    </w:div>
    <w:div w:id="859201110">
      <w:bodyDiv w:val="1"/>
      <w:marLeft w:val="0"/>
      <w:marRight w:val="0"/>
      <w:marTop w:val="0"/>
      <w:marBottom w:val="0"/>
      <w:divBdr>
        <w:top w:val="none" w:sz="0" w:space="0" w:color="auto"/>
        <w:left w:val="none" w:sz="0" w:space="0" w:color="auto"/>
        <w:bottom w:val="none" w:sz="0" w:space="0" w:color="auto"/>
        <w:right w:val="none" w:sz="0" w:space="0" w:color="auto"/>
      </w:divBdr>
    </w:div>
    <w:div w:id="879704739">
      <w:bodyDiv w:val="1"/>
      <w:marLeft w:val="0"/>
      <w:marRight w:val="0"/>
      <w:marTop w:val="0"/>
      <w:marBottom w:val="0"/>
      <w:divBdr>
        <w:top w:val="none" w:sz="0" w:space="0" w:color="auto"/>
        <w:left w:val="none" w:sz="0" w:space="0" w:color="auto"/>
        <w:bottom w:val="none" w:sz="0" w:space="0" w:color="auto"/>
        <w:right w:val="none" w:sz="0" w:space="0" w:color="auto"/>
      </w:divBdr>
    </w:div>
    <w:div w:id="882060512">
      <w:bodyDiv w:val="1"/>
      <w:marLeft w:val="0"/>
      <w:marRight w:val="0"/>
      <w:marTop w:val="0"/>
      <w:marBottom w:val="0"/>
      <w:divBdr>
        <w:top w:val="none" w:sz="0" w:space="0" w:color="auto"/>
        <w:left w:val="none" w:sz="0" w:space="0" w:color="auto"/>
        <w:bottom w:val="none" w:sz="0" w:space="0" w:color="auto"/>
        <w:right w:val="none" w:sz="0" w:space="0" w:color="auto"/>
      </w:divBdr>
    </w:div>
    <w:div w:id="886380471">
      <w:bodyDiv w:val="1"/>
      <w:marLeft w:val="0"/>
      <w:marRight w:val="0"/>
      <w:marTop w:val="0"/>
      <w:marBottom w:val="0"/>
      <w:divBdr>
        <w:top w:val="none" w:sz="0" w:space="0" w:color="auto"/>
        <w:left w:val="none" w:sz="0" w:space="0" w:color="auto"/>
        <w:bottom w:val="none" w:sz="0" w:space="0" w:color="auto"/>
        <w:right w:val="none" w:sz="0" w:space="0" w:color="auto"/>
      </w:divBdr>
    </w:div>
    <w:div w:id="905917550">
      <w:bodyDiv w:val="1"/>
      <w:marLeft w:val="0"/>
      <w:marRight w:val="0"/>
      <w:marTop w:val="0"/>
      <w:marBottom w:val="0"/>
      <w:divBdr>
        <w:top w:val="none" w:sz="0" w:space="0" w:color="auto"/>
        <w:left w:val="none" w:sz="0" w:space="0" w:color="auto"/>
        <w:bottom w:val="none" w:sz="0" w:space="0" w:color="auto"/>
        <w:right w:val="none" w:sz="0" w:space="0" w:color="auto"/>
      </w:divBdr>
    </w:div>
    <w:div w:id="913734257">
      <w:bodyDiv w:val="1"/>
      <w:marLeft w:val="0"/>
      <w:marRight w:val="0"/>
      <w:marTop w:val="0"/>
      <w:marBottom w:val="0"/>
      <w:divBdr>
        <w:top w:val="none" w:sz="0" w:space="0" w:color="auto"/>
        <w:left w:val="none" w:sz="0" w:space="0" w:color="auto"/>
        <w:bottom w:val="none" w:sz="0" w:space="0" w:color="auto"/>
        <w:right w:val="none" w:sz="0" w:space="0" w:color="auto"/>
      </w:divBdr>
    </w:div>
    <w:div w:id="916790456">
      <w:bodyDiv w:val="1"/>
      <w:marLeft w:val="0"/>
      <w:marRight w:val="0"/>
      <w:marTop w:val="0"/>
      <w:marBottom w:val="0"/>
      <w:divBdr>
        <w:top w:val="none" w:sz="0" w:space="0" w:color="auto"/>
        <w:left w:val="none" w:sz="0" w:space="0" w:color="auto"/>
        <w:bottom w:val="none" w:sz="0" w:space="0" w:color="auto"/>
        <w:right w:val="none" w:sz="0" w:space="0" w:color="auto"/>
      </w:divBdr>
    </w:div>
    <w:div w:id="949504893">
      <w:bodyDiv w:val="1"/>
      <w:marLeft w:val="0"/>
      <w:marRight w:val="0"/>
      <w:marTop w:val="0"/>
      <w:marBottom w:val="0"/>
      <w:divBdr>
        <w:top w:val="none" w:sz="0" w:space="0" w:color="auto"/>
        <w:left w:val="none" w:sz="0" w:space="0" w:color="auto"/>
        <w:bottom w:val="none" w:sz="0" w:space="0" w:color="auto"/>
        <w:right w:val="none" w:sz="0" w:space="0" w:color="auto"/>
      </w:divBdr>
    </w:div>
    <w:div w:id="951858579">
      <w:bodyDiv w:val="1"/>
      <w:marLeft w:val="0"/>
      <w:marRight w:val="0"/>
      <w:marTop w:val="0"/>
      <w:marBottom w:val="0"/>
      <w:divBdr>
        <w:top w:val="none" w:sz="0" w:space="0" w:color="auto"/>
        <w:left w:val="none" w:sz="0" w:space="0" w:color="auto"/>
        <w:bottom w:val="none" w:sz="0" w:space="0" w:color="auto"/>
        <w:right w:val="none" w:sz="0" w:space="0" w:color="auto"/>
      </w:divBdr>
    </w:div>
    <w:div w:id="955453656">
      <w:bodyDiv w:val="1"/>
      <w:marLeft w:val="0"/>
      <w:marRight w:val="0"/>
      <w:marTop w:val="0"/>
      <w:marBottom w:val="0"/>
      <w:divBdr>
        <w:top w:val="none" w:sz="0" w:space="0" w:color="auto"/>
        <w:left w:val="none" w:sz="0" w:space="0" w:color="auto"/>
        <w:bottom w:val="none" w:sz="0" w:space="0" w:color="auto"/>
        <w:right w:val="none" w:sz="0" w:space="0" w:color="auto"/>
      </w:divBdr>
    </w:div>
    <w:div w:id="971902185">
      <w:bodyDiv w:val="1"/>
      <w:marLeft w:val="0"/>
      <w:marRight w:val="0"/>
      <w:marTop w:val="0"/>
      <w:marBottom w:val="0"/>
      <w:divBdr>
        <w:top w:val="none" w:sz="0" w:space="0" w:color="auto"/>
        <w:left w:val="none" w:sz="0" w:space="0" w:color="auto"/>
        <w:bottom w:val="none" w:sz="0" w:space="0" w:color="auto"/>
        <w:right w:val="none" w:sz="0" w:space="0" w:color="auto"/>
      </w:divBdr>
    </w:div>
    <w:div w:id="979530684">
      <w:bodyDiv w:val="1"/>
      <w:marLeft w:val="0"/>
      <w:marRight w:val="0"/>
      <w:marTop w:val="0"/>
      <w:marBottom w:val="0"/>
      <w:divBdr>
        <w:top w:val="none" w:sz="0" w:space="0" w:color="auto"/>
        <w:left w:val="none" w:sz="0" w:space="0" w:color="auto"/>
        <w:bottom w:val="none" w:sz="0" w:space="0" w:color="auto"/>
        <w:right w:val="none" w:sz="0" w:space="0" w:color="auto"/>
      </w:divBdr>
    </w:div>
    <w:div w:id="991257041">
      <w:bodyDiv w:val="1"/>
      <w:marLeft w:val="0"/>
      <w:marRight w:val="0"/>
      <w:marTop w:val="0"/>
      <w:marBottom w:val="0"/>
      <w:divBdr>
        <w:top w:val="none" w:sz="0" w:space="0" w:color="auto"/>
        <w:left w:val="none" w:sz="0" w:space="0" w:color="auto"/>
        <w:bottom w:val="none" w:sz="0" w:space="0" w:color="auto"/>
        <w:right w:val="none" w:sz="0" w:space="0" w:color="auto"/>
      </w:divBdr>
    </w:div>
    <w:div w:id="1003435578">
      <w:bodyDiv w:val="1"/>
      <w:marLeft w:val="0"/>
      <w:marRight w:val="0"/>
      <w:marTop w:val="0"/>
      <w:marBottom w:val="0"/>
      <w:divBdr>
        <w:top w:val="none" w:sz="0" w:space="0" w:color="auto"/>
        <w:left w:val="none" w:sz="0" w:space="0" w:color="auto"/>
        <w:bottom w:val="none" w:sz="0" w:space="0" w:color="auto"/>
        <w:right w:val="none" w:sz="0" w:space="0" w:color="auto"/>
      </w:divBdr>
    </w:div>
    <w:div w:id="1009790532">
      <w:bodyDiv w:val="1"/>
      <w:marLeft w:val="0"/>
      <w:marRight w:val="0"/>
      <w:marTop w:val="0"/>
      <w:marBottom w:val="0"/>
      <w:divBdr>
        <w:top w:val="none" w:sz="0" w:space="0" w:color="auto"/>
        <w:left w:val="none" w:sz="0" w:space="0" w:color="auto"/>
        <w:bottom w:val="none" w:sz="0" w:space="0" w:color="auto"/>
        <w:right w:val="none" w:sz="0" w:space="0" w:color="auto"/>
      </w:divBdr>
    </w:div>
    <w:div w:id="1013142188">
      <w:bodyDiv w:val="1"/>
      <w:marLeft w:val="0"/>
      <w:marRight w:val="0"/>
      <w:marTop w:val="0"/>
      <w:marBottom w:val="0"/>
      <w:divBdr>
        <w:top w:val="none" w:sz="0" w:space="0" w:color="auto"/>
        <w:left w:val="none" w:sz="0" w:space="0" w:color="auto"/>
        <w:bottom w:val="none" w:sz="0" w:space="0" w:color="auto"/>
        <w:right w:val="none" w:sz="0" w:space="0" w:color="auto"/>
      </w:divBdr>
    </w:div>
    <w:div w:id="1031950970">
      <w:bodyDiv w:val="1"/>
      <w:marLeft w:val="0"/>
      <w:marRight w:val="0"/>
      <w:marTop w:val="0"/>
      <w:marBottom w:val="0"/>
      <w:divBdr>
        <w:top w:val="none" w:sz="0" w:space="0" w:color="auto"/>
        <w:left w:val="none" w:sz="0" w:space="0" w:color="auto"/>
        <w:bottom w:val="none" w:sz="0" w:space="0" w:color="auto"/>
        <w:right w:val="none" w:sz="0" w:space="0" w:color="auto"/>
      </w:divBdr>
    </w:div>
    <w:div w:id="1039861374">
      <w:bodyDiv w:val="1"/>
      <w:marLeft w:val="0"/>
      <w:marRight w:val="0"/>
      <w:marTop w:val="0"/>
      <w:marBottom w:val="0"/>
      <w:divBdr>
        <w:top w:val="none" w:sz="0" w:space="0" w:color="auto"/>
        <w:left w:val="none" w:sz="0" w:space="0" w:color="auto"/>
        <w:bottom w:val="none" w:sz="0" w:space="0" w:color="auto"/>
        <w:right w:val="none" w:sz="0" w:space="0" w:color="auto"/>
      </w:divBdr>
    </w:div>
    <w:div w:id="1043674162">
      <w:bodyDiv w:val="1"/>
      <w:marLeft w:val="0"/>
      <w:marRight w:val="0"/>
      <w:marTop w:val="0"/>
      <w:marBottom w:val="0"/>
      <w:divBdr>
        <w:top w:val="none" w:sz="0" w:space="0" w:color="auto"/>
        <w:left w:val="none" w:sz="0" w:space="0" w:color="auto"/>
        <w:bottom w:val="none" w:sz="0" w:space="0" w:color="auto"/>
        <w:right w:val="none" w:sz="0" w:space="0" w:color="auto"/>
      </w:divBdr>
    </w:div>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045374284">
      <w:bodyDiv w:val="1"/>
      <w:marLeft w:val="0"/>
      <w:marRight w:val="0"/>
      <w:marTop w:val="0"/>
      <w:marBottom w:val="0"/>
      <w:divBdr>
        <w:top w:val="none" w:sz="0" w:space="0" w:color="auto"/>
        <w:left w:val="none" w:sz="0" w:space="0" w:color="auto"/>
        <w:bottom w:val="none" w:sz="0" w:space="0" w:color="auto"/>
        <w:right w:val="none" w:sz="0" w:space="0" w:color="auto"/>
      </w:divBdr>
    </w:div>
    <w:div w:id="1076172210">
      <w:bodyDiv w:val="1"/>
      <w:marLeft w:val="0"/>
      <w:marRight w:val="0"/>
      <w:marTop w:val="0"/>
      <w:marBottom w:val="0"/>
      <w:divBdr>
        <w:top w:val="none" w:sz="0" w:space="0" w:color="auto"/>
        <w:left w:val="none" w:sz="0" w:space="0" w:color="auto"/>
        <w:bottom w:val="none" w:sz="0" w:space="0" w:color="auto"/>
        <w:right w:val="none" w:sz="0" w:space="0" w:color="auto"/>
      </w:divBdr>
    </w:div>
    <w:div w:id="1087271567">
      <w:bodyDiv w:val="1"/>
      <w:marLeft w:val="0"/>
      <w:marRight w:val="0"/>
      <w:marTop w:val="0"/>
      <w:marBottom w:val="0"/>
      <w:divBdr>
        <w:top w:val="none" w:sz="0" w:space="0" w:color="auto"/>
        <w:left w:val="none" w:sz="0" w:space="0" w:color="auto"/>
        <w:bottom w:val="none" w:sz="0" w:space="0" w:color="auto"/>
        <w:right w:val="none" w:sz="0" w:space="0" w:color="auto"/>
      </w:divBdr>
    </w:div>
    <w:div w:id="1087993297">
      <w:bodyDiv w:val="1"/>
      <w:marLeft w:val="0"/>
      <w:marRight w:val="0"/>
      <w:marTop w:val="0"/>
      <w:marBottom w:val="0"/>
      <w:divBdr>
        <w:top w:val="none" w:sz="0" w:space="0" w:color="auto"/>
        <w:left w:val="none" w:sz="0" w:space="0" w:color="auto"/>
        <w:bottom w:val="none" w:sz="0" w:space="0" w:color="auto"/>
        <w:right w:val="none" w:sz="0" w:space="0" w:color="auto"/>
      </w:divBdr>
    </w:div>
    <w:div w:id="1090010500">
      <w:bodyDiv w:val="1"/>
      <w:marLeft w:val="0"/>
      <w:marRight w:val="0"/>
      <w:marTop w:val="0"/>
      <w:marBottom w:val="0"/>
      <w:divBdr>
        <w:top w:val="none" w:sz="0" w:space="0" w:color="auto"/>
        <w:left w:val="none" w:sz="0" w:space="0" w:color="auto"/>
        <w:bottom w:val="none" w:sz="0" w:space="0" w:color="auto"/>
        <w:right w:val="none" w:sz="0" w:space="0" w:color="auto"/>
      </w:divBdr>
    </w:div>
    <w:div w:id="1094132952">
      <w:bodyDiv w:val="1"/>
      <w:marLeft w:val="0"/>
      <w:marRight w:val="0"/>
      <w:marTop w:val="0"/>
      <w:marBottom w:val="0"/>
      <w:divBdr>
        <w:top w:val="none" w:sz="0" w:space="0" w:color="auto"/>
        <w:left w:val="none" w:sz="0" w:space="0" w:color="auto"/>
        <w:bottom w:val="none" w:sz="0" w:space="0" w:color="auto"/>
        <w:right w:val="none" w:sz="0" w:space="0" w:color="auto"/>
      </w:divBdr>
    </w:div>
    <w:div w:id="1122189321">
      <w:bodyDiv w:val="1"/>
      <w:marLeft w:val="0"/>
      <w:marRight w:val="0"/>
      <w:marTop w:val="0"/>
      <w:marBottom w:val="0"/>
      <w:divBdr>
        <w:top w:val="none" w:sz="0" w:space="0" w:color="auto"/>
        <w:left w:val="none" w:sz="0" w:space="0" w:color="auto"/>
        <w:bottom w:val="none" w:sz="0" w:space="0" w:color="auto"/>
        <w:right w:val="none" w:sz="0" w:space="0" w:color="auto"/>
      </w:divBdr>
    </w:div>
    <w:div w:id="1122387083">
      <w:bodyDiv w:val="1"/>
      <w:marLeft w:val="0"/>
      <w:marRight w:val="0"/>
      <w:marTop w:val="0"/>
      <w:marBottom w:val="0"/>
      <w:divBdr>
        <w:top w:val="none" w:sz="0" w:space="0" w:color="auto"/>
        <w:left w:val="none" w:sz="0" w:space="0" w:color="auto"/>
        <w:bottom w:val="none" w:sz="0" w:space="0" w:color="auto"/>
        <w:right w:val="none" w:sz="0" w:space="0" w:color="auto"/>
      </w:divBdr>
    </w:div>
    <w:div w:id="1144467168">
      <w:bodyDiv w:val="1"/>
      <w:marLeft w:val="0"/>
      <w:marRight w:val="0"/>
      <w:marTop w:val="0"/>
      <w:marBottom w:val="0"/>
      <w:divBdr>
        <w:top w:val="none" w:sz="0" w:space="0" w:color="auto"/>
        <w:left w:val="none" w:sz="0" w:space="0" w:color="auto"/>
        <w:bottom w:val="none" w:sz="0" w:space="0" w:color="auto"/>
        <w:right w:val="none" w:sz="0" w:space="0" w:color="auto"/>
      </w:divBdr>
    </w:div>
    <w:div w:id="1146580401">
      <w:bodyDiv w:val="1"/>
      <w:marLeft w:val="0"/>
      <w:marRight w:val="0"/>
      <w:marTop w:val="0"/>
      <w:marBottom w:val="0"/>
      <w:divBdr>
        <w:top w:val="none" w:sz="0" w:space="0" w:color="auto"/>
        <w:left w:val="none" w:sz="0" w:space="0" w:color="auto"/>
        <w:bottom w:val="none" w:sz="0" w:space="0" w:color="auto"/>
        <w:right w:val="none" w:sz="0" w:space="0" w:color="auto"/>
      </w:divBdr>
    </w:div>
    <w:div w:id="1148978794">
      <w:bodyDiv w:val="1"/>
      <w:marLeft w:val="0"/>
      <w:marRight w:val="0"/>
      <w:marTop w:val="0"/>
      <w:marBottom w:val="0"/>
      <w:divBdr>
        <w:top w:val="none" w:sz="0" w:space="0" w:color="auto"/>
        <w:left w:val="none" w:sz="0" w:space="0" w:color="auto"/>
        <w:bottom w:val="none" w:sz="0" w:space="0" w:color="auto"/>
        <w:right w:val="none" w:sz="0" w:space="0" w:color="auto"/>
      </w:divBdr>
    </w:div>
    <w:div w:id="1150051883">
      <w:bodyDiv w:val="1"/>
      <w:marLeft w:val="0"/>
      <w:marRight w:val="0"/>
      <w:marTop w:val="0"/>
      <w:marBottom w:val="0"/>
      <w:divBdr>
        <w:top w:val="none" w:sz="0" w:space="0" w:color="auto"/>
        <w:left w:val="none" w:sz="0" w:space="0" w:color="auto"/>
        <w:bottom w:val="none" w:sz="0" w:space="0" w:color="auto"/>
        <w:right w:val="none" w:sz="0" w:space="0" w:color="auto"/>
      </w:divBdr>
    </w:div>
    <w:div w:id="1154834836">
      <w:bodyDiv w:val="1"/>
      <w:marLeft w:val="0"/>
      <w:marRight w:val="0"/>
      <w:marTop w:val="0"/>
      <w:marBottom w:val="0"/>
      <w:divBdr>
        <w:top w:val="none" w:sz="0" w:space="0" w:color="auto"/>
        <w:left w:val="none" w:sz="0" w:space="0" w:color="auto"/>
        <w:bottom w:val="none" w:sz="0" w:space="0" w:color="auto"/>
        <w:right w:val="none" w:sz="0" w:space="0" w:color="auto"/>
      </w:divBdr>
    </w:div>
    <w:div w:id="1161115991">
      <w:bodyDiv w:val="1"/>
      <w:marLeft w:val="0"/>
      <w:marRight w:val="0"/>
      <w:marTop w:val="0"/>
      <w:marBottom w:val="0"/>
      <w:divBdr>
        <w:top w:val="none" w:sz="0" w:space="0" w:color="auto"/>
        <w:left w:val="none" w:sz="0" w:space="0" w:color="auto"/>
        <w:bottom w:val="none" w:sz="0" w:space="0" w:color="auto"/>
        <w:right w:val="none" w:sz="0" w:space="0" w:color="auto"/>
      </w:divBdr>
    </w:div>
    <w:div w:id="1165903757">
      <w:bodyDiv w:val="1"/>
      <w:marLeft w:val="0"/>
      <w:marRight w:val="0"/>
      <w:marTop w:val="0"/>
      <w:marBottom w:val="0"/>
      <w:divBdr>
        <w:top w:val="none" w:sz="0" w:space="0" w:color="auto"/>
        <w:left w:val="none" w:sz="0" w:space="0" w:color="auto"/>
        <w:bottom w:val="none" w:sz="0" w:space="0" w:color="auto"/>
        <w:right w:val="none" w:sz="0" w:space="0" w:color="auto"/>
      </w:divBdr>
    </w:div>
    <w:div w:id="1169831697">
      <w:bodyDiv w:val="1"/>
      <w:marLeft w:val="0"/>
      <w:marRight w:val="0"/>
      <w:marTop w:val="0"/>
      <w:marBottom w:val="0"/>
      <w:divBdr>
        <w:top w:val="none" w:sz="0" w:space="0" w:color="auto"/>
        <w:left w:val="none" w:sz="0" w:space="0" w:color="auto"/>
        <w:bottom w:val="none" w:sz="0" w:space="0" w:color="auto"/>
        <w:right w:val="none" w:sz="0" w:space="0" w:color="auto"/>
      </w:divBdr>
    </w:div>
    <w:div w:id="1179614287">
      <w:bodyDiv w:val="1"/>
      <w:marLeft w:val="0"/>
      <w:marRight w:val="0"/>
      <w:marTop w:val="0"/>
      <w:marBottom w:val="0"/>
      <w:divBdr>
        <w:top w:val="none" w:sz="0" w:space="0" w:color="auto"/>
        <w:left w:val="none" w:sz="0" w:space="0" w:color="auto"/>
        <w:bottom w:val="none" w:sz="0" w:space="0" w:color="auto"/>
        <w:right w:val="none" w:sz="0" w:space="0" w:color="auto"/>
      </w:divBdr>
    </w:div>
    <w:div w:id="1183319279">
      <w:bodyDiv w:val="1"/>
      <w:marLeft w:val="0"/>
      <w:marRight w:val="0"/>
      <w:marTop w:val="0"/>
      <w:marBottom w:val="0"/>
      <w:divBdr>
        <w:top w:val="none" w:sz="0" w:space="0" w:color="auto"/>
        <w:left w:val="none" w:sz="0" w:space="0" w:color="auto"/>
        <w:bottom w:val="none" w:sz="0" w:space="0" w:color="auto"/>
        <w:right w:val="none" w:sz="0" w:space="0" w:color="auto"/>
      </w:divBdr>
    </w:div>
    <w:div w:id="1221864792">
      <w:bodyDiv w:val="1"/>
      <w:marLeft w:val="0"/>
      <w:marRight w:val="0"/>
      <w:marTop w:val="0"/>
      <w:marBottom w:val="0"/>
      <w:divBdr>
        <w:top w:val="none" w:sz="0" w:space="0" w:color="auto"/>
        <w:left w:val="none" w:sz="0" w:space="0" w:color="auto"/>
        <w:bottom w:val="none" w:sz="0" w:space="0" w:color="auto"/>
        <w:right w:val="none" w:sz="0" w:space="0" w:color="auto"/>
      </w:divBdr>
    </w:div>
    <w:div w:id="1232153614">
      <w:bodyDiv w:val="1"/>
      <w:marLeft w:val="0"/>
      <w:marRight w:val="0"/>
      <w:marTop w:val="0"/>
      <w:marBottom w:val="0"/>
      <w:divBdr>
        <w:top w:val="none" w:sz="0" w:space="0" w:color="auto"/>
        <w:left w:val="none" w:sz="0" w:space="0" w:color="auto"/>
        <w:bottom w:val="none" w:sz="0" w:space="0" w:color="auto"/>
        <w:right w:val="none" w:sz="0" w:space="0" w:color="auto"/>
      </w:divBdr>
    </w:div>
    <w:div w:id="1238899506">
      <w:bodyDiv w:val="1"/>
      <w:marLeft w:val="0"/>
      <w:marRight w:val="0"/>
      <w:marTop w:val="0"/>
      <w:marBottom w:val="0"/>
      <w:divBdr>
        <w:top w:val="none" w:sz="0" w:space="0" w:color="auto"/>
        <w:left w:val="none" w:sz="0" w:space="0" w:color="auto"/>
        <w:bottom w:val="none" w:sz="0" w:space="0" w:color="auto"/>
        <w:right w:val="none" w:sz="0" w:space="0" w:color="auto"/>
      </w:divBdr>
    </w:div>
    <w:div w:id="1240335734">
      <w:bodyDiv w:val="1"/>
      <w:marLeft w:val="0"/>
      <w:marRight w:val="0"/>
      <w:marTop w:val="0"/>
      <w:marBottom w:val="0"/>
      <w:divBdr>
        <w:top w:val="none" w:sz="0" w:space="0" w:color="auto"/>
        <w:left w:val="none" w:sz="0" w:space="0" w:color="auto"/>
        <w:bottom w:val="none" w:sz="0" w:space="0" w:color="auto"/>
        <w:right w:val="none" w:sz="0" w:space="0" w:color="auto"/>
      </w:divBdr>
    </w:div>
    <w:div w:id="1250887494">
      <w:bodyDiv w:val="1"/>
      <w:marLeft w:val="0"/>
      <w:marRight w:val="0"/>
      <w:marTop w:val="0"/>
      <w:marBottom w:val="0"/>
      <w:divBdr>
        <w:top w:val="none" w:sz="0" w:space="0" w:color="auto"/>
        <w:left w:val="none" w:sz="0" w:space="0" w:color="auto"/>
        <w:bottom w:val="none" w:sz="0" w:space="0" w:color="auto"/>
        <w:right w:val="none" w:sz="0" w:space="0" w:color="auto"/>
      </w:divBdr>
    </w:div>
    <w:div w:id="1297371673">
      <w:bodyDiv w:val="1"/>
      <w:marLeft w:val="0"/>
      <w:marRight w:val="0"/>
      <w:marTop w:val="0"/>
      <w:marBottom w:val="0"/>
      <w:divBdr>
        <w:top w:val="none" w:sz="0" w:space="0" w:color="auto"/>
        <w:left w:val="none" w:sz="0" w:space="0" w:color="auto"/>
        <w:bottom w:val="none" w:sz="0" w:space="0" w:color="auto"/>
        <w:right w:val="none" w:sz="0" w:space="0" w:color="auto"/>
      </w:divBdr>
    </w:div>
    <w:div w:id="1297881480">
      <w:bodyDiv w:val="1"/>
      <w:marLeft w:val="0"/>
      <w:marRight w:val="0"/>
      <w:marTop w:val="0"/>
      <w:marBottom w:val="0"/>
      <w:divBdr>
        <w:top w:val="none" w:sz="0" w:space="0" w:color="auto"/>
        <w:left w:val="none" w:sz="0" w:space="0" w:color="auto"/>
        <w:bottom w:val="none" w:sz="0" w:space="0" w:color="auto"/>
        <w:right w:val="none" w:sz="0" w:space="0" w:color="auto"/>
      </w:divBdr>
    </w:div>
    <w:div w:id="1324823207">
      <w:bodyDiv w:val="1"/>
      <w:marLeft w:val="0"/>
      <w:marRight w:val="0"/>
      <w:marTop w:val="0"/>
      <w:marBottom w:val="0"/>
      <w:divBdr>
        <w:top w:val="none" w:sz="0" w:space="0" w:color="auto"/>
        <w:left w:val="none" w:sz="0" w:space="0" w:color="auto"/>
        <w:bottom w:val="none" w:sz="0" w:space="0" w:color="auto"/>
        <w:right w:val="none" w:sz="0" w:space="0" w:color="auto"/>
      </w:divBdr>
    </w:div>
    <w:div w:id="1331759321">
      <w:bodyDiv w:val="1"/>
      <w:marLeft w:val="0"/>
      <w:marRight w:val="0"/>
      <w:marTop w:val="0"/>
      <w:marBottom w:val="0"/>
      <w:divBdr>
        <w:top w:val="none" w:sz="0" w:space="0" w:color="auto"/>
        <w:left w:val="none" w:sz="0" w:space="0" w:color="auto"/>
        <w:bottom w:val="none" w:sz="0" w:space="0" w:color="auto"/>
        <w:right w:val="none" w:sz="0" w:space="0" w:color="auto"/>
      </w:divBdr>
    </w:div>
    <w:div w:id="1343822326">
      <w:bodyDiv w:val="1"/>
      <w:marLeft w:val="0"/>
      <w:marRight w:val="0"/>
      <w:marTop w:val="0"/>
      <w:marBottom w:val="0"/>
      <w:divBdr>
        <w:top w:val="none" w:sz="0" w:space="0" w:color="auto"/>
        <w:left w:val="none" w:sz="0" w:space="0" w:color="auto"/>
        <w:bottom w:val="none" w:sz="0" w:space="0" w:color="auto"/>
        <w:right w:val="none" w:sz="0" w:space="0" w:color="auto"/>
      </w:divBdr>
    </w:div>
    <w:div w:id="1348294794">
      <w:bodyDiv w:val="1"/>
      <w:marLeft w:val="0"/>
      <w:marRight w:val="0"/>
      <w:marTop w:val="0"/>
      <w:marBottom w:val="0"/>
      <w:divBdr>
        <w:top w:val="none" w:sz="0" w:space="0" w:color="auto"/>
        <w:left w:val="none" w:sz="0" w:space="0" w:color="auto"/>
        <w:bottom w:val="none" w:sz="0" w:space="0" w:color="auto"/>
        <w:right w:val="none" w:sz="0" w:space="0" w:color="auto"/>
      </w:divBdr>
    </w:div>
    <w:div w:id="1359693530">
      <w:bodyDiv w:val="1"/>
      <w:marLeft w:val="0"/>
      <w:marRight w:val="0"/>
      <w:marTop w:val="0"/>
      <w:marBottom w:val="0"/>
      <w:divBdr>
        <w:top w:val="none" w:sz="0" w:space="0" w:color="auto"/>
        <w:left w:val="none" w:sz="0" w:space="0" w:color="auto"/>
        <w:bottom w:val="none" w:sz="0" w:space="0" w:color="auto"/>
        <w:right w:val="none" w:sz="0" w:space="0" w:color="auto"/>
      </w:divBdr>
    </w:div>
    <w:div w:id="1363283498">
      <w:bodyDiv w:val="1"/>
      <w:marLeft w:val="0"/>
      <w:marRight w:val="0"/>
      <w:marTop w:val="0"/>
      <w:marBottom w:val="0"/>
      <w:divBdr>
        <w:top w:val="none" w:sz="0" w:space="0" w:color="auto"/>
        <w:left w:val="none" w:sz="0" w:space="0" w:color="auto"/>
        <w:bottom w:val="none" w:sz="0" w:space="0" w:color="auto"/>
        <w:right w:val="none" w:sz="0" w:space="0" w:color="auto"/>
      </w:divBdr>
    </w:div>
    <w:div w:id="1369254948">
      <w:bodyDiv w:val="1"/>
      <w:marLeft w:val="0"/>
      <w:marRight w:val="0"/>
      <w:marTop w:val="0"/>
      <w:marBottom w:val="0"/>
      <w:divBdr>
        <w:top w:val="none" w:sz="0" w:space="0" w:color="auto"/>
        <w:left w:val="none" w:sz="0" w:space="0" w:color="auto"/>
        <w:bottom w:val="none" w:sz="0" w:space="0" w:color="auto"/>
        <w:right w:val="none" w:sz="0" w:space="0" w:color="auto"/>
      </w:divBdr>
    </w:div>
    <w:div w:id="1393381610">
      <w:bodyDiv w:val="1"/>
      <w:marLeft w:val="0"/>
      <w:marRight w:val="0"/>
      <w:marTop w:val="0"/>
      <w:marBottom w:val="0"/>
      <w:divBdr>
        <w:top w:val="none" w:sz="0" w:space="0" w:color="auto"/>
        <w:left w:val="none" w:sz="0" w:space="0" w:color="auto"/>
        <w:bottom w:val="none" w:sz="0" w:space="0" w:color="auto"/>
        <w:right w:val="none" w:sz="0" w:space="0" w:color="auto"/>
      </w:divBdr>
    </w:div>
    <w:div w:id="1395424811">
      <w:bodyDiv w:val="1"/>
      <w:marLeft w:val="0"/>
      <w:marRight w:val="0"/>
      <w:marTop w:val="0"/>
      <w:marBottom w:val="0"/>
      <w:divBdr>
        <w:top w:val="none" w:sz="0" w:space="0" w:color="auto"/>
        <w:left w:val="none" w:sz="0" w:space="0" w:color="auto"/>
        <w:bottom w:val="none" w:sz="0" w:space="0" w:color="auto"/>
        <w:right w:val="none" w:sz="0" w:space="0" w:color="auto"/>
      </w:divBdr>
    </w:div>
    <w:div w:id="1396901764">
      <w:bodyDiv w:val="1"/>
      <w:marLeft w:val="0"/>
      <w:marRight w:val="0"/>
      <w:marTop w:val="0"/>
      <w:marBottom w:val="0"/>
      <w:divBdr>
        <w:top w:val="none" w:sz="0" w:space="0" w:color="auto"/>
        <w:left w:val="none" w:sz="0" w:space="0" w:color="auto"/>
        <w:bottom w:val="none" w:sz="0" w:space="0" w:color="auto"/>
        <w:right w:val="none" w:sz="0" w:space="0" w:color="auto"/>
      </w:divBdr>
    </w:div>
    <w:div w:id="1403409018">
      <w:bodyDiv w:val="1"/>
      <w:marLeft w:val="0"/>
      <w:marRight w:val="0"/>
      <w:marTop w:val="0"/>
      <w:marBottom w:val="0"/>
      <w:divBdr>
        <w:top w:val="none" w:sz="0" w:space="0" w:color="auto"/>
        <w:left w:val="none" w:sz="0" w:space="0" w:color="auto"/>
        <w:bottom w:val="none" w:sz="0" w:space="0" w:color="auto"/>
        <w:right w:val="none" w:sz="0" w:space="0" w:color="auto"/>
      </w:divBdr>
    </w:div>
    <w:div w:id="1416317455">
      <w:bodyDiv w:val="1"/>
      <w:marLeft w:val="0"/>
      <w:marRight w:val="0"/>
      <w:marTop w:val="0"/>
      <w:marBottom w:val="0"/>
      <w:divBdr>
        <w:top w:val="none" w:sz="0" w:space="0" w:color="auto"/>
        <w:left w:val="none" w:sz="0" w:space="0" w:color="auto"/>
        <w:bottom w:val="none" w:sz="0" w:space="0" w:color="auto"/>
        <w:right w:val="none" w:sz="0" w:space="0" w:color="auto"/>
      </w:divBdr>
    </w:div>
    <w:div w:id="1425028564">
      <w:bodyDiv w:val="1"/>
      <w:marLeft w:val="0"/>
      <w:marRight w:val="0"/>
      <w:marTop w:val="0"/>
      <w:marBottom w:val="0"/>
      <w:divBdr>
        <w:top w:val="none" w:sz="0" w:space="0" w:color="auto"/>
        <w:left w:val="none" w:sz="0" w:space="0" w:color="auto"/>
        <w:bottom w:val="none" w:sz="0" w:space="0" w:color="auto"/>
        <w:right w:val="none" w:sz="0" w:space="0" w:color="auto"/>
      </w:divBdr>
    </w:div>
    <w:div w:id="1426918744">
      <w:bodyDiv w:val="1"/>
      <w:marLeft w:val="0"/>
      <w:marRight w:val="0"/>
      <w:marTop w:val="0"/>
      <w:marBottom w:val="0"/>
      <w:divBdr>
        <w:top w:val="none" w:sz="0" w:space="0" w:color="auto"/>
        <w:left w:val="none" w:sz="0" w:space="0" w:color="auto"/>
        <w:bottom w:val="none" w:sz="0" w:space="0" w:color="auto"/>
        <w:right w:val="none" w:sz="0" w:space="0" w:color="auto"/>
      </w:divBdr>
    </w:div>
    <w:div w:id="1431317949">
      <w:bodyDiv w:val="1"/>
      <w:marLeft w:val="0"/>
      <w:marRight w:val="0"/>
      <w:marTop w:val="0"/>
      <w:marBottom w:val="0"/>
      <w:divBdr>
        <w:top w:val="none" w:sz="0" w:space="0" w:color="auto"/>
        <w:left w:val="none" w:sz="0" w:space="0" w:color="auto"/>
        <w:bottom w:val="none" w:sz="0" w:space="0" w:color="auto"/>
        <w:right w:val="none" w:sz="0" w:space="0" w:color="auto"/>
      </w:divBdr>
    </w:div>
    <w:div w:id="1434981427">
      <w:bodyDiv w:val="1"/>
      <w:marLeft w:val="0"/>
      <w:marRight w:val="0"/>
      <w:marTop w:val="0"/>
      <w:marBottom w:val="0"/>
      <w:divBdr>
        <w:top w:val="none" w:sz="0" w:space="0" w:color="auto"/>
        <w:left w:val="none" w:sz="0" w:space="0" w:color="auto"/>
        <w:bottom w:val="none" w:sz="0" w:space="0" w:color="auto"/>
        <w:right w:val="none" w:sz="0" w:space="0" w:color="auto"/>
      </w:divBdr>
    </w:div>
    <w:div w:id="1443187862">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 w:id="1452088809">
      <w:bodyDiv w:val="1"/>
      <w:marLeft w:val="0"/>
      <w:marRight w:val="0"/>
      <w:marTop w:val="0"/>
      <w:marBottom w:val="0"/>
      <w:divBdr>
        <w:top w:val="none" w:sz="0" w:space="0" w:color="auto"/>
        <w:left w:val="none" w:sz="0" w:space="0" w:color="auto"/>
        <w:bottom w:val="none" w:sz="0" w:space="0" w:color="auto"/>
        <w:right w:val="none" w:sz="0" w:space="0" w:color="auto"/>
      </w:divBdr>
    </w:div>
    <w:div w:id="1485514215">
      <w:bodyDiv w:val="1"/>
      <w:marLeft w:val="0"/>
      <w:marRight w:val="0"/>
      <w:marTop w:val="0"/>
      <w:marBottom w:val="0"/>
      <w:divBdr>
        <w:top w:val="none" w:sz="0" w:space="0" w:color="auto"/>
        <w:left w:val="none" w:sz="0" w:space="0" w:color="auto"/>
        <w:bottom w:val="none" w:sz="0" w:space="0" w:color="auto"/>
        <w:right w:val="none" w:sz="0" w:space="0" w:color="auto"/>
      </w:divBdr>
    </w:div>
    <w:div w:id="1492671540">
      <w:bodyDiv w:val="1"/>
      <w:marLeft w:val="0"/>
      <w:marRight w:val="0"/>
      <w:marTop w:val="0"/>
      <w:marBottom w:val="0"/>
      <w:divBdr>
        <w:top w:val="none" w:sz="0" w:space="0" w:color="auto"/>
        <w:left w:val="none" w:sz="0" w:space="0" w:color="auto"/>
        <w:bottom w:val="none" w:sz="0" w:space="0" w:color="auto"/>
        <w:right w:val="none" w:sz="0" w:space="0" w:color="auto"/>
      </w:divBdr>
    </w:div>
    <w:div w:id="1502963168">
      <w:bodyDiv w:val="1"/>
      <w:marLeft w:val="0"/>
      <w:marRight w:val="0"/>
      <w:marTop w:val="0"/>
      <w:marBottom w:val="0"/>
      <w:divBdr>
        <w:top w:val="none" w:sz="0" w:space="0" w:color="auto"/>
        <w:left w:val="none" w:sz="0" w:space="0" w:color="auto"/>
        <w:bottom w:val="none" w:sz="0" w:space="0" w:color="auto"/>
        <w:right w:val="none" w:sz="0" w:space="0" w:color="auto"/>
      </w:divBdr>
    </w:div>
    <w:div w:id="1517042767">
      <w:bodyDiv w:val="1"/>
      <w:marLeft w:val="0"/>
      <w:marRight w:val="0"/>
      <w:marTop w:val="0"/>
      <w:marBottom w:val="0"/>
      <w:divBdr>
        <w:top w:val="none" w:sz="0" w:space="0" w:color="auto"/>
        <w:left w:val="none" w:sz="0" w:space="0" w:color="auto"/>
        <w:bottom w:val="none" w:sz="0" w:space="0" w:color="auto"/>
        <w:right w:val="none" w:sz="0" w:space="0" w:color="auto"/>
      </w:divBdr>
    </w:div>
    <w:div w:id="1551846376">
      <w:bodyDiv w:val="1"/>
      <w:marLeft w:val="0"/>
      <w:marRight w:val="0"/>
      <w:marTop w:val="0"/>
      <w:marBottom w:val="0"/>
      <w:divBdr>
        <w:top w:val="none" w:sz="0" w:space="0" w:color="auto"/>
        <w:left w:val="none" w:sz="0" w:space="0" w:color="auto"/>
        <w:bottom w:val="none" w:sz="0" w:space="0" w:color="auto"/>
        <w:right w:val="none" w:sz="0" w:space="0" w:color="auto"/>
      </w:divBdr>
    </w:div>
    <w:div w:id="1553616980">
      <w:bodyDiv w:val="1"/>
      <w:marLeft w:val="0"/>
      <w:marRight w:val="0"/>
      <w:marTop w:val="0"/>
      <w:marBottom w:val="0"/>
      <w:divBdr>
        <w:top w:val="none" w:sz="0" w:space="0" w:color="auto"/>
        <w:left w:val="none" w:sz="0" w:space="0" w:color="auto"/>
        <w:bottom w:val="none" w:sz="0" w:space="0" w:color="auto"/>
        <w:right w:val="none" w:sz="0" w:space="0" w:color="auto"/>
      </w:divBdr>
    </w:div>
    <w:div w:id="1575361493">
      <w:bodyDiv w:val="1"/>
      <w:marLeft w:val="0"/>
      <w:marRight w:val="0"/>
      <w:marTop w:val="0"/>
      <w:marBottom w:val="0"/>
      <w:divBdr>
        <w:top w:val="none" w:sz="0" w:space="0" w:color="auto"/>
        <w:left w:val="none" w:sz="0" w:space="0" w:color="auto"/>
        <w:bottom w:val="none" w:sz="0" w:space="0" w:color="auto"/>
        <w:right w:val="none" w:sz="0" w:space="0" w:color="auto"/>
      </w:divBdr>
    </w:div>
    <w:div w:id="1590388760">
      <w:bodyDiv w:val="1"/>
      <w:marLeft w:val="0"/>
      <w:marRight w:val="0"/>
      <w:marTop w:val="0"/>
      <w:marBottom w:val="0"/>
      <w:divBdr>
        <w:top w:val="none" w:sz="0" w:space="0" w:color="auto"/>
        <w:left w:val="none" w:sz="0" w:space="0" w:color="auto"/>
        <w:bottom w:val="none" w:sz="0" w:space="0" w:color="auto"/>
        <w:right w:val="none" w:sz="0" w:space="0" w:color="auto"/>
      </w:divBdr>
    </w:div>
    <w:div w:id="1599751304">
      <w:bodyDiv w:val="1"/>
      <w:marLeft w:val="0"/>
      <w:marRight w:val="0"/>
      <w:marTop w:val="0"/>
      <w:marBottom w:val="0"/>
      <w:divBdr>
        <w:top w:val="none" w:sz="0" w:space="0" w:color="auto"/>
        <w:left w:val="none" w:sz="0" w:space="0" w:color="auto"/>
        <w:bottom w:val="none" w:sz="0" w:space="0" w:color="auto"/>
        <w:right w:val="none" w:sz="0" w:space="0" w:color="auto"/>
      </w:divBdr>
    </w:div>
    <w:div w:id="1608192536">
      <w:bodyDiv w:val="1"/>
      <w:marLeft w:val="0"/>
      <w:marRight w:val="0"/>
      <w:marTop w:val="0"/>
      <w:marBottom w:val="0"/>
      <w:divBdr>
        <w:top w:val="none" w:sz="0" w:space="0" w:color="auto"/>
        <w:left w:val="none" w:sz="0" w:space="0" w:color="auto"/>
        <w:bottom w:val="none" w:sz="0" w:space="0" w:color="auto"/>
        <w:right w:val="none" w:sz="0" w:space="0" w:color="auto"/>
      </w:divBdr>
    </w:div>
    <w:div w:id="1616597610">
      <w:bodyDiv w:val="1"/>
      <w:marLeft w:val="0"/>
      <w:marRight w:val="0"/>
      <w:marTop w:val="0"/>
      <w:marBottom w:val="0"/>
      <w:divBdr>
        <w:top w:val="none" w:sz="0" w:space="0" w:color="auto"/>
        <w:left w:val="none" w:sz="0" w:space="0" w:color="auto"/>
        <w:bottom w:val="none" w:sz="0" w:space="0" w:color="auto"/>
        <w:right w:val="none" w:sz="0" w:space="0" w:color="auto"/>
      </w:divBdr>
    </w:div>
    <w:div w:id="1630815469">
      <w:bodyDiv w:val="1"/>
      <w:marLeft w:val="0"/>
      <w:marRight w:val="0"/>
      <w:marTop w:val="0"/>
      <w:marBottom w:val="0"/>
      <w:divBdr>
        <w:top w:val="none" w:sz="0" w:space="0" w:color="auto"/>
        <w:left w:val="none" w:sz="0" w:space="0" w:color="auto"/>
        <w:bottom w:val="none" w:sz="0" w:space="0" w:color="auto"/>
        <w:right w:val="none" w:sz="0" w:space="0" w:color="auto"/>
      </w:divBdr>
    </w:div>
    <w:div w:id="1647125840">
      <w:bodyDiv w:val="1"/>
      <w:marLeft w:val="0"/>
      <w:marRight w:val="0"/>
      <w:marTop w:val="0"/>
      <w:marBottom w:val="0"/>
      <w:divBdr>
        <w:top w:val="none" w:sz="0" w:space="0" w:color="auto"/>
        <w:left w:val="none" w:sz="0" w:space="0" w:color="auto"/>
        <w:bottom w:val="none" w:sz="0" w:space="0" w:color="auto"/>
        <w:right w:val="none" w:sz="0" w:space="0" w:color="auto"/>
      </w:divBdr>
    </w:div>
    <w:div w:id="1662661241">
      <w:bodyDiv w:val="1"/>
      <w:marLeft w:val="0"/>
      <w:marRight w:val="0"/>
      <w:marTop w:val="0"/>
      <w:marBottom w:val="0"/>
      <w:divBdr>
        <w:top w:val="none" w:sz="0" w:space="0" w:color="auto"/>
        <w:left w:val="none" w:sz="0" w:space="0" w:color="auto"/>
        <w:bottom w:val="none" w:sz="0" w:space="0" w:color="auto"/>
        <w:right w:val="none" w:sz="0" w:space="0" w:color="auto"/>
      </w:divBdr>
    </w:div>
    <w:div w:id="1663241966">
      <w:bodyDiv w:val="1"/>
      <w:marLeft w:val="0"/>
      <w:marRight w:val="0"/>
      <w:marTop w:val="0"/>
      <w:marBottom w:val="0"/>
      <w:divBdr>
        <w:top w:val="none" w:sz="0" w:space="0" w:color="auto"/>
        <w:left w:val="none" w:sz="0" w:space="0" w:color="auto"/>
        <w:bottom w:val="none" w:sz="0" w:space="0" w:color="auto"/>
        <w:right w:val="none" w:sz="0" w:space="0" w:color="auto"/>
      </w:divBdr>
    </w:div>
    <w:div w:id="1698852618">
      <w:bodyDiv w:val="1"/>
      <w:marLeft w:val="0"/>
      <w:marRight w:val="0"/>
      <w:marTop w:val="0"/>
      <w:marBottom w:val="0"/>
      <w:divBdr>
        <w:top w:val="none" w:sz="0" w:space="0" w:color="auto"/>
        <w:left w:val="none" w:sz="0" w:space="0" w:color="auto"/>
        <w:bottom w:val="none" w:sz="0" w:space="0" w:color="auto"/>
        <w:right w:val="none" w:sz="0" w:space="0" w:color="auto"/>
      </w:divBdr>
    </w:div>
    <w:div w:id="1710446162">
      <w:bodyDiv w:val="1"/>
      <w:marLeft w:val="0"/>
      <w:marRight w:val="0"/>
      <w:marTop w:val="0"/>
      <w:marBottom w:val="0"/>
      <w:divBdr>
        <w:top w:val="none" w:sz="0" w:space="0" w:color="auto"/>
        <w:left w:val="none" w:sz="0" w:space="0" w:color="auto"/>
        <w:bottom w:val="none" w:sz="0" w:space="0" w:color="auto"/>
        <w:right w:val="none" w:sz="0" w:space="0" w:color="auto"/>
      </w:divBdr>
    </w:div>
    <w:div w:id="1742020857">
      <w:bodyDiv w:val="1"/>
      <w:marLeft w:val="0"/>
      <w:marRight w:val="0"/>
      <w:marTop w:val="0"/>
      <w:marBottom w:val="0"/>
      <w:divBdr>
        <w:top w:val="none" w:sz="0" w:space="0" w:color="auto"/>
        <w:left w:val="none" w:sz="0" w:space="0" w:color="auto"/>
        <w:bottom w:val="none" w:sz="0" w:space="0" w:color="auto"/>
        <w:right w:val="none" w:sz="0" w:space="0" w:color="auto"/>
      </w:divBdr>
    </w:div>
    <w:div w:id="1758212098">
      <w:bodyDiv w:val="1"/>
      <w:marLeft w:val="0"/>
      <w:marRight w:val="0"/>
      <w:marTop w:val="0"/>
      <w:marBottom w:val="0"/>
      <w:divBdr>
        <w:top w:val="none" w:sz="0" w:space="0" w:color="auto"/>
        <w:left w:val="none" w:sz="0" w:space="0" w:color="auto"/>
        <w:bottom w:val="none" w:sz="0" w:space="0" w:color="auto"/>
        <w:right w:val="none" w:sz="0" w:space="0" w:color="auto"/>
      </w:divBdr>
    </w:div>
    <w:div w:id="1762679799">
      <w:bodyDiv w:val="1"/>
      <w:marLeft w:val="0"/>
      <w:marRight w:val="0"/>
      <w:marTop w:val="0"/>
      <w:marBottom w:val="0"/>
      <w:divBdr>
        <w:top w:val="none" w:sz="0" w:space="0" w:color="auto"/>
        <w:left w:val="none" w:sz="0" w:space="0" w:color="auto"/>
        <w:bottom w:val="none" w:sz="0" w:space="0" w:color="auto"/>
        <w:right w:val="none" w:sz="0" w:space="0" w:color="auto"/>
      </w:divBdr>
    </w:div>
    <w:div w:id="1773474745">
      <w:bodyDiv w:val="1"/>
      <w:marLeft w:val="0"/>
      <w:marRight w:val="0"/>
      <w:marTop w:val="0"/>
      <w:marBottom w:val="0"/>
      <w:divBdr>
        <w:top w:val="none" w:sz="0" w:space="0" w:color="auto"/>
        <w:left w:val="none" w:sz="0" w:space="0" w:color="auto"/>
        <w:bottom w:val="none" w:sz="0" w:space="0" w:color="auto"/>
        <w:right w:val="none" w:sz="0" w:space="0" w:color="auto"/>
      </w:divBdr>
    </w:div>
    <w:div w:id="1781102803">
      <w:bodyDiv w:val="1"/>
      <w:marLeft w:val="0"/>
      <w:marRight w:val="0"/>
      <w:marTop w:val="0"/>
      <w:marBottom w:val="0"/>
      <w:divBdr>
        <w:top w:val="none" w:sz="0" w:space="0" w:color="auto"/>
        <w:left w:val="none" w:sz="0" w:space="0" w:color="auto"/>
        <w:bottom w:val="none" w:sz="0" w:space="0" w:color="auto"/>
        <w:right w:val="none" w:sz="0" w:space="0" w:color="auto"/>
      </w:divBdr>
    </w:div>
    <w:div w:id="1784036223">
      <w:bodyDiv w:val="1"/>
      <w:marLeft w:val="0"/>
      <w:marRight w:val="0"/>
      <w:marTop w:val="0"/>
      <w:marBottom w:val="0"/>
      <w:divBdr>
        <w:top w:val="none" w:sz="0" w:space="0" w:color="auto"/>
        <w:left w:val="none" w:sz="0" w:space="0" w:color="auto"/>
        <w:bottom w:val="none" w:sz="0" w:space="0" w:color="auto"/>
        <w:right w:val="none" w:sz="0" w:space="0" w:color="auto"/>
      </w:divBdr>
    </w:div>
    <w:div w:id="1793592100">
      <w:bodyDiv w:val="1"/>
      <w:marLeft w:val="0"/>
      <w:marRight w:val="0"/>
      <w:marTop w:val="0"/>
      <w:marBottom w:val="0"/>
      <w:divBdr>
        <w:top w:val="none" w:sz="0" w:space="0" w:color="auto"/>
        <w:left w:val="none" w:sz="0" w:space="0" w:color="auto"/>
        <w:bottom w:val="none" w:sz="0" w:space="0" w:color="auto"/>
        <w:right w:val="none" w:sz="0" w:space="0" w:color="auto"/>
      </w:divBdr>
    </w:div>
    <w:div w:id="1800806115">
      <w:bodyDiv w:val="1"/>
      <w:marLeft w:val="0"/>
      <w:marRight w:val="0"/>
      <w:marTop w:val="0"/>
      <w:marBottom w:val="0"/>
      <w:divBdr>
        <w:top w:val="none" w:sz="0" w:space="0" w:color="auto"/>
        <w:left w:val="none" w:sz="0" w:space="0" w:color="auto"/>
        <w:bottom w:val="none" w:sz="0" w:space="0" w:color="auto"/>
        <w:right w:val="none" w:sz="0" w:space="0" w:color="auto"/>
      </w:divBdr>
    </w:div>
    <w:div w:id="1803422209">
      <w:bodyDiv w:val="1"/>
      <w:marLeft w:val="0"/>
      <w:marRight w:val="0"/>
      <w:marTop w:val="0"/>
      <w:marBottom w:val="0"/>
      <w:divBdr>
        <w:top w:val="none" w:sz="0" w:space="0" w:color="auto"/>
        <w:left w:val="none" w:sz="0" w:space="0" w:color="auto"/>
        <w:bottom w:val="none" w:sz="0" w:space="0" w:color="auto"/>
        <w:right w:val="none" w:sz="0" w:space="0" w:color="auto"/>
      </w:divBdr>
    </w:div>
    <w:div w:id="1818106334">
      <w:bodyDiv w:val="1"/>
      <w:marLeft w:val="0"/>
      <w:marRight w:val="0"/>
      <w:marTop w:val="0"/>
      <w:marBottom w:val="0"/>
      <w:divBdr>
        <w:top w:val="none" w:sz="0" w:space="0" w:color="auto"/>
        <w:left w:val="none" w:sz="0" w:space="0" w:color="auto"/>
        <w:bottom w:val="none" w:sz="0" w:space="0" w:color="auto"/>
        <w:right w:val="none" w:sz="0" w:space="0" w:color="auto"/>
      </w:divBdr>
    </w:div>
    <w:div w:id="1830779452">
      <w:bodyDiv w:val="1"/>
      <w:marLeft w:val="0"/>
      <w:marRight w:val="0"/>
      <w:marTop w:val="0"/>
      <w:marBottom w:val="0"/>
      <w:divBdr>
        <w:top w:val="none" w:sz="0" w:space="0" w:color="auto"/>
        <w:left w:val="none" w:sz="0" w:space="0" w:color="auto"/>
        <w:bottom w:val="none" w:sz="0" w:space="0" w:color="auto"/>
        <w:right w:val="none" w:sz="0" w:space="0" w:color="auto"/>
      </w:divBdr>
    </w:div>
    <w:div w:id="1834881266">
      <w:bodyDiv w:val="1"/>
      <w:marLeft w:val="0"/>
      <w:marRight w:val="0"/>
      <w:marTop w:val="0"/>
      <w:marBottom w:val="0"/>
      <w:divBdr>
        <w:top w:val="none" w:sz="0" w:space="0" w:color="auto"/>
        <w:left w:val="none" w:sz="0" w:space="0" w:color="auto"/>
        <w:bottom w:val="none" w:sz="0" w:space="0" w:color="auto"/>
        <w:right w:val="none" w:sz="0" w:space="0" w:color="auto"/>
      </w:divBdr>
    </w:div>
    <w:div w:id="1838497903">
      <w:bodyDiv w:val="1"/>
      <w:marLeft w:val="0"/>
      <w:marRight w:val="0"/>
      <w:marTop w:val="0"/>
      <w:marBottom w:val="0"/>
      <w:divBdr>
        <w:top w:val="none" w:sz="0" w:space="0" w:color="auto"/>
        <w:left w:val="none" w:sz="0" w:space="0" w:color="auto"/>
        <w:bottom w:val="none" w:sz="0" w:space="0" w:color="auto"/>
        <w:right w:val="none" w:sz="0" w:space="0" w:color="auto"/>
      </w:divBdr>
    </w:div>
    <w:div w:id="1859468909">
      <w:bodyDiv w:val="1"/>
      <w:marLeft w:val="0"/>
      <w:marRight w:val="0"/>
      <w:marTop w:val="0"/>
      <w:marBottom w:val="0"/>
      <w:divBdr>
        <w:top w:val="none" w:sz="0" w:space="0" w:color="auto"/>
        <w:left w:val="none" w:sz="0" w:space="0" w:color="auto"/>
        <w:bottom w:val="none" w:sz="0" w:space="0" w:color="auto"/>
        <w:right w:val="none" w:sz="0" w:space="0" w:color="auto"/>
      </w:divBdr>
    </w:div>
    <w:div w:id="1867480814">
      <w:bodyDiv w:val="1"/>
      <w:marLeft w:val="0"/>
      <w:marRight w:val="0"/>
      <w:marTop w:val="0"/>
      <w:marBottom w:val="0"/>
      <w:divBdr>
        <w:top w:val="none" w:sz="0" w:space="0" w:color="auto"/>
        <w:left w:val="none" w:sz="0" w:space="0" w:color="auto"/>
        <w:bottom w:val="none" w:sz="0" w:space="0" w:color="auto"/>
        <w:right w:val="none" w:sz="0" w:space="0" w:color="auto"/>
      </w:divBdr>
    </w:div>
    <w:div w:id="1936862494">
      <w:bodyDiv w:val="1"/>
      <w:marLeft w:val="0"/>
      <w:marRight w:val="0"/>
      <w:marTop w:val="0"/>
      <w:marBottom w:val="0"/>
      <w:divBdr>
        <w:top w:val="none" w:sz="0" w:space="0" w:color="auto"/>
        <w:left w:val="none" w:sz="0" w:space="0" w:color="auto"/>
        <w:bottom w:val="none" w:sz="0" w:space="0" w:color="auto"/>
        <w:right w:val="none" w:sz="0" w:space="0" w:color="auto"/>
      </w:divBdr>
    </w:div>
    <w:div w:id="1947079039">
      <w:bodyDiv w:val="1"/>
      <w:marLeft w:val="0"/>
      <w:marRight w:val="0"/>
      <w:marTop w:val="0"/>
      <w:marBottom w:val="0"/>
      <w:divBdr>
        <w:top w:val="none" w:sz="0" w:space="0" w:color="auto"/>
        <w:left w:val="none" w:sz="0" w:space="0" w:color="auto"/>
        <w:bottom w:val="none" w:sz="0" w:space="0" w:color="auto"/>
        <w:right w:val="none" w:sz="0" w:space="0" w:color="auto"/>
      </w:divBdr>
    </w:div>
    <w:div w:id="1955207095">
      <w:bodyDiv w:val="1"/>
      <w:marLeft w:val="0"/>
      <w:marRight w:val="0"/>
      <w:marTop w:val="0"/>
      <w:marBottom w:val="0"/>
      <w:divBdr>
        <w:top w:val="none" w:sz="0" w:space="0" w:color="auto"/>
        <w:left w:val="none" w:sz="0" w:space="0" w:color="auto"/>
        <w:bottom w:val="none" w:sz="0" w:space="0" w:color="auto"/>
        <w:right w:val="none" w:sz="0" w:space="0" w:color="auto"/>
      </w:divBdr>
    </w:div>
    <w:div w:id="1969703362">
      <w:bodyDiv w:val="1"/>
      <w:marLeft w:val="0"/>
      <w:marRight w:val="0"/>
      <w:marTop w:val="0"/>
      <w:marBottom w:val="0"/>
      <w:divBdr>
        <w:top w:val="none" w:sz="0" w:space="0" w:color="auto"/>
        <w:left w:val="none" w:sz="0" w:space="0" w:color="auto"/>
        <w:bottom w:val="none" w:sz="0" w:space="0" w:color="auto"/>
        <w:right w:val="none" w:sz="0" w:space="0" w:color="auto"/>
      </w:divBdr>
    </w:div>
    <w:div w:id="1983580580">
      <w:bodyDiv w:val="1"/>
      <w:marLeft w:val="0"/>
      <w:marRight w:val="0"/>
      <w:marTop w:val="0"/>
      <w:marBottom w:val="0"/>
      <w:divBdr>
        <w:top w:val="none" w:sz="0" w:space="0" w:color="auto"/>
        <w:left w:val="none" w:sz="0" w:space="0" w:color="auto"/>
        <w:bottom w:val="none" w:sz="0" w:space="0" w:color="auto"/>
        <w:right w:val="none" w:sz="0" w:space="0" w:color="auto"/>
      </w:divBdr>
    </w:div>
    <w:div w:id="2008702186">
      <w:bodyDiv w:val="1"/>
      <w:marLeft w:val="0"/>
      <w:marRight w:val="0"/>
      <w:marTop w:val="0"/>
      <w:marBottom w:val="0"/>
      <w:divBdr>
        <w:top w:val="none" w:sz="0" w:space="0" w:color="auto"/>
        <w:left w:val="none" w:sz="0" w:space="0" w:color="auto"/>
        <w:bottom w:val="none" w:sz="0" w:space="0" w:color="auto"/>
        <w:right w:val="none" w:sz="0" w:space="0" w:color="auto"/>
      </w:divBdr>
    </w:div>
    <w:div w:id="2017150323">
      <w:bodyDiv w:val="1"/>
      <w:marLeft w:val="0"/>
      <w:marRight w:val="0"/>
      <w:marTop w:val="0"/>
      <w:marBottom w:val="0"/>
      <w:divBdr>
        <w:top w:val="none" w:sz="0" w:space="0" w:color="auto"/>
        <w:left w:val="none" w:sz="0" w:space="0" w:color="auto"/>
        <w:bottom w:val="none" w:sz="0" w:space="0" w:color="auto"/>
        <w:right w:val="none" w:sz="0" w:space="0" w:color="auto"/>
      </w:divBdr>
    </w:div>
    <w:div w:id="2026247918">
      <w:bodyDiv w:val="1"/>
      <w:marLeft w:val="0"/>
      <w:marRight w:val="0"/>
      <w:marTop w:val="0"/>
      <w:marBottom w:val="0"/>
      <w:divBdr>
        <w:top w:val="none" w:sz="0" w:space="0" w:color="auto"/>
        <w:left w:val="none" w:sz="0" w:space="0" w:color="auto"/>
        <w:bottom w:val="none" w:sz="0" w:space="0" w:color="auto"/>
        <w:right w:val="none" w:sz="0" w:space="0" w:color="auto"/>
      </w:divBdr>
    </w:div>
    <w:div w:id="2026517122">
      <w:bodyDiv w:val="1"/>
      <w:marLeft w:val="0"/>
      <w:marRight w:val="0"/>
      <w:marTop w:val="0"/>
      <w:marBottom w:val="0"/>
      <w:divBdr>
        <w:top w:val="none" w:sz="0" w:space="0" w:color="auto"/>
        <w:left w:val="none" w:sz="0" w:space="0" w:color="auto"/>
        <w:bottom w:val="none" w:sz="0" w:space="0" w:color="auto"/>
        <w:right w:val="none" w:sz="0" w:space="0" w:color="auto"/>
      </w:divBdr>
    </w:div>
    <w:div w:id="2040662361">
      <w:bodyDiv w:val="1"/>
      <w:marLeft w:val="0"/>
      <w:marRight w:val="0"/>
      <w:marTop w:val="0"/>
      <w:marBottom w:val="0"/>
      <w:divBdr>
        <w:top w:val="none" w:sz="0" w:space="0" w:color="auto"/>
        <w:left w:val="none" w:sz="0" w:space="0" w:color="auto"/>
        <w:bottom w:val="none" w:sz="0" w:space="0" w:color="auto"/>
        <w:right w:val="none" w:sz="0" w:space="0" w:color="auto"/>
      </w:divBdr>
    </w:div>
    <w:div w:id="2041468025">
      <w:bodyDiv w:val="1"/>
      <w:marLeft w:val="0"/>
      <w:marRight w:val="0"/>
      <w:marTop w:val="0"/>
      <w:marBottom w:val="0"/>
      <w:divBdr>
        <w:top w:val="none" w:sz="0" w:space="0" w:color="auto"/>
        <w:left w:val="none" w:sz="0" w:space="0" w:color="auto"/>
        <w:bottom w:val="none" w:sz="0" w:space="0" w:color="auto"/>
        <w:right w:val="none" w:sz="0" w:space="0" w:color="auto"/>
      </w:divBdr>
    </w:div>
    <w:div w:id="2042784375">
      <w:bodyDiv w:val="1"/>
      <w:marLeft w:val="0"/>
      <w:marRight w:val="0"/>
      <w:marTop w:val="0"/>
      <w:marBottom w:val="0"/>
      <w:divBdr>
        <w:top w:val="none" w:sz="0" w:space="0" w:color="auto"/>
        <w:left w:val="none" w:sz="0" w:space="0" w:color="auto"/>
        <w:bottom w:val="none" w:sz="0" w:space="0" w:color="auto"/>
        <w:right w:val="none" w:sz="0" w:space="0" w:color="auto"/>
      </w:divBdr>
    </w:div>
    <w:div w:id="2060320852">
      <w:bodyDiv w:val="1"/>
      <w:marLeft w:val="0"/>
      <w:marRight w:val="0"/>
      <w:marTop w:val="0"/>
      <w:marBottom w:val="0"/>
      <w:divBdr>
        <w:top w:val="none" w:sz="0" w:space="0" w:color="auto"/>
        <w:left w:val="none" w:sz="0" w:space="0" w:color="auto"/>
        <w:bottom w:val="none" w:sz="0" w:space="0" w:color="auto"/>
        <w:right w:val="none" w:sz="0" w:space="0" w:color="auto"/>
      </w:divBdr>
    </w:div>
    <w:div w:id="2069375433">
      <w:bodyDiv w:val="1"/>
      <w:marLeft w:val="0"/>
      <w:marRight w:val="0"/>
      <w:marTop w:val="0"/>
      <w:marBottom w:val="0"/>
      <w:divBdr>
        <w:top w:val="none" w:sz="0" w:space="0" w:color="auto"/>
        <w:left w:val="none" w:sz="0" w:space="0" w:color="auto"/>
        <w:bottom w:val="none" w:sz="0" w:space="0" w:color="auto"/>
        <w:right w:val="none" w:sz="0" w:space="0" w:color="auto"/>
      </w:divBdr>
    </w:div>
    <w:div w:id="2090076093">
      <w:bodyDiv w:val="1"/>
      <w:marLeft w:val="0"/>
      <w:marRight w:val="0"/>
      <w:marTop w:val="0"/>
      <w:marBottom w:val="0"/>
      <w:divBdr>
        <w:top w:val="none" w:sz="0" w:space="0" w:color="auto"/>
        <w:left w:val="none" w:sz="0" w:space="0" w:color="auto"/>
        <w:bottom w:val="none" w:sz="0" w:space="0" w:color="auto"/>
        <w:right w:val="none" w:sz="0" w:space="0" w:color="auto"/>
      </w:divBdr>
    </w:div>
    <w:div w:id="2093433489">
      <w:bodyDiv w:val="1"/>
      <w:marLeft w:val="0"/>
      <w:marRight w:val="0"/>
      <w:marTop w:val="0"/>
      <w:marBottom w:val="0"/>
      <w:divBdr>
        <w:top w:val="none" w:sz="0" w:space="0" w:color="auto"/>
        <w:left w:val="none" w:sz="0" w:space="0" w:color="auto"/>
        <w:bottom w:val="none" w:sz="0" w:space="0" w:color="auto"/>
        <w:right w:val="none" w:sz="0" w:space="0" w:color="auto"/>
      </w:divBdr>
    </w:div>
    <w:div w:id="2103800324">
      <w:bodyDiv w:val="1"/>
      <w:marLeft w:val="0"/>
      <w:marRight w:val="0"/>
      <w:marTop w:val="0"/>
      <w:marBottom w:val="0"/>
      <w:divBdr>
        <w:top w:val="none" w:sz="0" w:space="0" w:color="auto"/>
        <w:left w:val="none" w:sz="0" w:space="0" w:color="auto"/>
        <w:bottom w:val="none" w:sz="0" w:space="0" w:color="auto"/>
        <w:right w:val="none" w:sz="0" w:space="0" w:color="auto"/>
      </w:divBdr>
    </w:div>
    <w:div w:id="2113475669">
      <w:bodyDiv w:val="1"/>
      <w:marLeft w:val="0"/>
      <w:marRight w:val="0"/>
      <w:marTop w:val="0"/>
      <w:marBottom w:val="0"/>
      <w:divBdr>
        <w:top w:val="none" w:sz="0" w:space="0" w:color="auto"/>
        <w:left w:val="none" w:sz="0" w:space="0" w:color="auto"/>
        <w:bottom w:val="none" w:sz="0" w:space="0" w:color="auto"/>
        <w:right w:val="none" w:sz="0" w:space="0" w:color="auto"/>
      </w:divBdr>
    </w:div>
    <w:div w:id="2132358902">
      <w:bodyDiv w:val="1"/>
      <w:marLeft w:val="0"/>
      <w:marRight w:val="0"/>
      <w:marTop w:val="0"/>
      <w:marBottom w:val="0"/>
      <w:divBdr>
        <w:top w:val="none" w:sz="0" w:space="0" w:color="auto"/>
        <w:left w:val="none" w:sz="0" w:space="0" w:color="auto"/>
        <w:bottom w:val="none" w:sz="0" w:space="0" w:color="auto"/>
        <w:right w:val="none" w:sz="0" w:space="0" w:color="auto"/>
      </w:divBdr>
    </w:div>
    <w:div w:id="2141461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boswell001\Local%20Settings\Temporary%20Internet%20Files\Content.IE5\7BRXSR7D\Full%20Report%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0DB86-6094-4558-8E3E-2C18769E7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Template[1].dot</Template>
  <TotalTime>387</TotalTime>
  <Pages>26</Pages>
  <Words>7299</Words>
  <Characters>41606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48808</CharactersWithSpaces>
  <SharedDoc>false</SharedDoc>
  <HLinks>
    <vt:vector size="6" baseType="variant">
      <vt:variant>
        <vt:i4>7274551</vt:i4>
      </vt:variant>
      <vt:variant>
        <vt:i4>0</vt:i4>
      </vt:variant>
      <vt:variant>
        <vt:i4>0</vt:i4>
      </vt:variant>
      <vt:variant>
        <vt:i4>5</vt:i4>
      </vt:variant>
      <vt:variant>
        <vt:lpwstr>http://lccintranet2/corporate/web/?siteid=4180&amp;pageid=17582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tboswell001</dc:creator>
  <cp:lastModifiedBy>Evenson, Maya</cp:lastModifiedBy>
  <cp:revision>33</cp:revision>
  <cp:lastPrinted>2016-08-22T16:27:00Z</cp:lastPrinted>
  <dcterms:created xsi:type="dcterms:W3CDTF">2016-08-23T10:21:00Z</dcterms:created>
  <dcterms:modified xsi:type="dcterms:W3CDTF">2016-08-25T13:10:00Z</dcterms:modified>
</cp:coreProperties>
</file>